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95711" w14:textId="785A85D6" w:rsidR="0053370A" w:rsidRPr="0028383B" w:rsidRDefault="00E330CD" w:rsidP="00143469">
      <w:pPr>
        <w:pStyle w:val="Heading1"/>
        <w:keepNext w:val="0"/>
        <w:keepLines w:val="0"/>
        <w:pageBreakBefore w:val="0"/>
        <w:spacing w:before="240" w:after="240"/>
        <w:rPr>
          <w:rFonts w:eastAsiaTheme="minorHAnsi"/>
          <w:bCs w:val="0"/>
          <w:szCs w:val="48"/>
          <w:lang w:eastAsia="en-US"/>
        </w:rPr>
      </w:pPr>
      <w:r w:rsidRPr="0028383B">
        <w:rPr>
          <w:rFonts w:eastAsiaTheme="minorHAnsi"/>
          <w:bCs w:val="0"/>
          <w:szCs w:val="48"/>
          <w:lang w:eastAsia="en-US"/>
        </w:rPr>
        <w:t>THRIVE 2030 Action Pla</w:t>
      </w:r>
      <w:r w:rsidR="0053370A" w:rsidRPr="0028383B">
        <w:rPr>
          <w:rFonts w:eastAsiaTheme="minorHAnsi"/>
          <w:bCs w:val="0"/>
          <w:szCs w:val="48"/>
          <w:lang w:eastAsia="en-US"/>
        </w:rPr>
        <w:t>n</w:t>
      </w:r>
      <w:r w:rsidR="00EB36DD" w:rsidRPr="0028383B">
        <w:rPr>
          <w:rFonts w:eastAsiaTheme="minorHAnsi"/>
          <w:bCs w:val="0"/>
          <w:szCs w:val="48"/>
          <w:lang w:eastAsia="en-US"/>
        </w:rPr>
        <w:t xml:space="preserve"> – Progress status report</w:t>
      </w:r>
    </w:p>
    <w:p w14:paraId="562628AF" w14:textId="5617289D" w:rsidR="00D10586" w:rsidRPr="00C25869" w:rsidRDefault="008576C5" w:rsidP="008346EB">
      <w:pPr>
        <w:pStyle w:val="Introcopy"/>
        <w:spacing w:after="200"/>
        <w:rPr>
          <w:rFonts w:eastAsiaTheme="minorHAnsi"/>
          <w:color w:val="993C94"/>
          <w:lang w:eastAsia="en-US"/>
        </w:rPr>
      </w:pPr>
      <w:r>
        <w:rPr>
          <w:rFonts w:eastAsiaTheme="minorHAnsi"/>
          <w:color w:val="993C94"/>
          <w:lang w:eastAsia="en-US"/>
        </w:rPr>
        <w:t>Report Date</w:t>
      </w:r>
      <w:r w:rsidR="2119B0F2" w:rsidRPr="00C25869">
        <w:rPr>
          <w:rFonts w:eastAsiaTheme="minorHAnsi"/>
          <w:color w:val="993C94"/>
          <w:lang w:eastAsia="en-US"/>
        </w:rPr>
        <w:t xml:space="preserve">: </w:t>
      </w:r>
      <w:r w:rsidR="00D159DF">
        <w:rPr>
          <w:rFonts w:eastAsiaTheme="minorHAnsi"/>
          <w:color w:val="993C94"/>
          <w:lang w:eastAsia="en-US"/>
        </w:rPr>
        <w:t>14</w:t>
      </w:r>
      <w:r w:rsidR="00F71D6E">
        <w:rPr>
          <w:rFonts w:eastAsiaTheme="minorHAnsi"/>
          <w:color w:val="993C94"/>
          <w:lang w:eastAsia="en-US"/>
        </w:rPr>
        <w:t xml:space="preserve"> July</w:t>
      </w:r>
      <w:r w:rsidR="00990F7A" w:rsidRPr="00C25869">
        <w:rPr>
          <w:rFonts w:eastAsiaTheme="minorHAnsi"/>
          <w:color w:val="993C94"/>
          <w:lang w:eastAsia="en-US"/>
        </w:rPr>
        <w:t xml:space="preserve"> 2026</w:t>
      </w:r>
    </w:p>
    <w:tbl>
      <w:tblPr>
        <w:tblStyle w:val="ListTable3-Accent5"/>
        <w:tblW w:w="20696" w:type="dxa"/>
        <w:tblInd w:w="-8" w:type="dxa"/>
        <w:tblBorders>
          <w:top w:val="single" w:sz="6" w:space="0" w:color="auto"/>
          <w:left w:val="single" w:sz="6" w:space="0" w:color="auto"/>
          <w:bottom w:val="single" w:sz="6" w:space="0" w:color="auto"/>
          <w:right w:val="single" w:sz="6" w:space="0" w:color="auto"/>
        </w:tblBorders>
        <w:tblLayout w:type="fixed"/>
        <w:tblLook w:val="0420" w:firstRow="1" w:lastRow="0" w:firstColumn="0" w:lastColumn="0" w:noHBand="0" w:noVBand="1"/>
      </w:tblPr>
      <w:tblGrid>
        <w:gridCol w:w="971"/>
        <w:gridCol w:w="6259"/>
        <w:gridCol w:w="1462"/>
        <w:gridCol w:w="5167"/>
        <w:gridCol w:w="6837"/>
      </w:tblGrid>
      <w:tr w:rsidR="00AE3C42" w:rsidRPr="006B6723" w14:paraId="5D34B81E" w14:textId="62E04C27" w:rsidTr="00AE3C42">
        <w:trPr>
          <w:cnfStyle w:val="100000000000" w:firstRow="1" w:lastRow="0" w:firstColumn="0" w:lastColumn="0" w:oddVBand="0" w:evenVBand="0" w:oddHBand="0" w:evenHBand="0" w:firstRowFirstColumn="0" w:firstRowLastColumn="0" w:lastRowFirstColumn="0" w:lastRowLastColumn="0"/>
          <w:trHeight w:val="699"/>
          <w:tblHeader/>
        </w:trPr>
        <w:tc>
          <w:tcPr>
            <w:tcW w:w="971" w:type="dxa"/>
            <w:tcBorders>
              <w:top w:val="single" w:sz="6" w:space="0" w:color="auto"/>
              <w:left w:val="single" w:sz="6" w:space="0" w:color="auto"/>
              <w:bottom w:val="single" w:sz="6" w:space="0" w:color="auto"/>
              <w:right w:val="single" w:sz="6" w:space="0" w:color="auto"/>
            </w:tcBorders>
            <w:shd w:val="clear" w:color="auto" w:fill="893C94"/>
            <w:tcMar>
              <w:left w:w="105" w:type="dxa"/>
              <w:right w:w="105" w:type="dxa"/>
            </w:tcMar>
            <w:vAlign w:val="center"/>
          </w:tcPr>
          <w:p w14:paraId="1CE5C5D9" w14:textId="589E4747" w:rsidR="00AE3C42" w:rsidRPr="006B6723" w:rsidRDefault="00AE3C42" w:rsidP="00530A4C">
            <w:pPr>
              <w:pStyle w:val="Table-heading1"/>
              <w:spacing w:before="60" w:after="60" w:line="240" w:lineRule="auto"/>
              <w:jc w:val="center"/>
              <w:rPr>
                <w:rFonts w:eastAsia="Verdana" w:cs="Verdana"/>
                <w:b/>
                <w:bCs/>
                <w:sz w:val="20"/>
                <w:szCs w:val="20"/>
              </w:rPr>
            </w:pPr>
            <w:r w:rsidRPr="006B6723">
              <w:rPr>
                <w:rFonts w:eastAsia="Verdana" w:cs="Verdana"/>
                <w:b/>
                <w:bCs/>
                <w:sz w:val="20"/>
                <w:szCs w:val="20"/>
                <w:lang w:val="en-AU"/>
              </w:rPr>
              <w:t>Action #</w:t>
            </w:r>
          </w:p>
        </w:tc>
        <w:tc>
          <w:tcPr>
            <w:tcW w:w="6259" w:type="dxa"/>
            <w:tcBorders>
              <w:top w:val="single" w:sz="6" w:space="0" w:color="auto"/>
              <w:left w:val="single" w:sz="6" w:space="0" w:color="auto"/>
              <w:bottom w:val="single" w:sz="6" w:space="0" w:color="auto"/>
              <w:right w:val="single" w:sz="6" w:space="0" w:color="auto"/>
            </w:tcBorders>
            <w:shd w:val="clear" w:color="auto" w:fill="893C94"/>
            <w:tcMar>
              <w:left w:w="105" w:type="dxa"/>
              <w:right w:w="105" w:type="dxa"/>
            </w:tcMar>
            <w:vAlign w:val="center"/>
          </w:tcPr>
          <w:p w14:paraId="35E3D167" w14:textId="686CAE6D" w:rsidR="00AE3C42" w:rsidRPr="006B6723" w:rsidRDefault="00AE3C42" w:rsidP="00530A4C">
            <w:pPr>
              <w:pStyle w:val="Table-heading1"/>
              <w:spacing w:before="60" w:after="60" w:line="240" w:lineRule="auto"/>
              <w:jc w:val="center"/>
              <w:rPr>
                <w:rFonts w:eastAsia="Verdana" w:cs="Verdana"/>
                <w:b/>
                <w:bCs/>
                <w:sz w:val="20"/>
                <w:szCs w:val="20"/>
              </w:rPr>
            </w:pPr>
            <w:r w:rsidRPr="006B6723">
              <w:rPr>
                <w:rFonts w:eastAsia="Verdana" w:cs="Verdana"/>
                <w:b/>
                <w:bCs/>
                <w:sz w:val="20"/>
                <w:szCs w:val="20"/>
                <w:lang w:val="en-AU"/>
              </w:rPr>
              <w:t>Action details</w:t>
            </w:r>
          </w:p>
        </w:tc>
        <w:tc>
          <w:tcPr>
            <w:tcW w:w="1462" w:type="dxa"/>
            <w:tcBorders>
              <w:top w:val="single" w:sz="6" w:space="0" w:color="auto"/>
              <w:left w:val="single" w:sz="6" w:space="0" w:color="auto"/>
              <w:bottom w:val="single" w:sz="6" w:space="0" w:color="auto"/>
              <w:right w:val="single" w:sz="6" w:space="0" w:color="auto"/>
            </w:tcBorders>
            <w:shd w:val="clear" w:color="auto" w:fill="893C94"/>
            <w:tcMar>
              <w:left w:w="105" w:type="dxa"/>
              <w:right w:w="105" w:type="dxa"/>
            </w:tcMar>
            <w:vAlign w:val="center"/>
          </w:tcPr>
          <w:p w14:paraId="7FE51F66" w14:textId="4E7AD6CE" w:rsidR="00AE3C42" w:rsidRPr="006B6723" w:rsidRDefault="00AE3C42" w:rsidP="00530A4C">
            <w:pPr>
              <w:pStyle w:val="Table-heading1"/>
              <w:spacing w:before="60" w:after="60" w:line="240" w:lineRule="auto"/>
              <w:jc w:val="center"/>
              <w:rPr>
                <w:rFonts w:eastAsia="Verdana" w:cs="Verdana"/>
                <w:b/>
                <w:bCs/>
                <w:sz w:val="20"/>
                <w:szCs w:val="20"/>
              </w:rPr>
            </w:pPr>
            <w:r w:rsidRPr="006B6723">
              <w:rPr>
                <w:rFonts w:eastAsia="Verdana" w:cs="Verdana"/>
                <w:b/>
                <w:bCs/>
                <w:sz w:val="20"/>
                <w:szCs w:val="20"/>
              </w:rPr>
              <w:t xml:space="preserve">Lead agency </w:t>
            </w:r>
            <w:r w:rsidRPr="006B6723">
              <w:rPr>
                <w:rFonts w:eastAsia="Verdana" w:cs="Verdana"/>
                <w:b/>
                <w:bCs/>
                <w:i/>
                <w:iCs/>
                <w:sz w:val="20"/>
                <w:szCs w:val="20"/>
              </w:rPr>
              <w:t>(Partner)</w:t>
            </w:r>
          </w:p>
        </w:tc>
        <w:tc>
          <w:tcPr>
            <w:tcW w:w="5167" w:type="dxa"/>
            <w:tcBorders>
              <w:top w:val="single" w:sz="6" w:space="0" w:color="auto"/>
              <w:left w:val="single" w:sz="6" w:space="0" w:color="auto"/>
              <w:bottom w:val="single" w:sz="6" w:space="0" w:color="auto"/>
              <w:right w:val="single" w:sz="6" w:space="0" w:color="auto"/>
            </w:tcBorders>
            <w:shd w:val="clear" w:color="auto" w:fill="893C94"/>
            <w:vAlign w:val="center"/>
          </w:tcPr>
          <w:p w14:paraId="782B40F8" w14:textId="161DACF0" w:rsidR="00AE3C42" w:rsidRPr="006B6723" w:rsidRDefault="00AE3C42" w:rsidP="00530A4C">
            <w:pPr>
              <w:pStyle w:val="Table-heading1"/>
              <w:spacing w:before="60" w:after="60" w:line="240" w:lineRule="auto"/>
              <w:jc w:val="center"/>
              <w:rPr>
                <w:rFonts w:eastAsia="Verdana" w:cs="Verdana"/>
                <w:sz w:val="20"/>
                <w:szCs w:val="20"/>
                <w:lang w:val="en-AU"/>
              </w:rPr>
            </w:pPr>
            <w:r w:rsidRPr="006B6723">
              <w:rPr>
                <w:rFonts w:eastAsia="Verdana" w:cs="Verdana"/>
                <w:b/>
                <w:bCs/>
                <w:sz w:val="20"/>
                <w:szCs w:val="20"/>
              </w:rPr>
              <w:t>Progress update</w:t>
            </w:r>
          </w:p>
        </w:tc>
        <w:tc>
          <w:tcPr>
            <w:tcW w:w="6837" w:type="dxa"/>
            <w:tcBorders>
              <w:top w:val="single" w:sz="6" w:space="0" w:color="auto"/>
              <w:left w:val="single" w:sz="6" w:space="0" w:color="auto"/>
              <w:bottom w:val="single" w:sz="6" w:space="0" w:color="auto"/>
              <w:right w:val="single" w:sz="6" w:space="0" w:color="auto"/>
            </w:tcBorders>
            <w:shd w:val="clear" w:color="auto" w:fill="893C94"/>
            <w:vAlign w:val="center"/>
          </w:tcPr>
          <w:p w14:paraId="5F7B2699" w14:textId="423784C8" w:rsidR="00AE3C42" w:rsidRPr="006B6723" w:rsidRDefault="00AE3C42" w:rsidP="00530A4C">
            <w:pPr>
              <w:pStyle w:val="Table-heading1"/>
              <w:spacing w:before="60" w:after="60" w:line="240" w:lineRule="auto"/>
              <w:jc w:val="center"/>
              <w:rPr>
                <w:rFonts w:eastAsia="Verdana" w:cs="Verdana"/>
                <w:sz w:val="20"/>
                <w:szCs w:val="20"/>
                <w:lang w:val="en-AU"/>
              </w:rPr>
            </w:pPr>
            <w:r w:rsidRPr="006B6723">
              <w:rPr>
                <w:rFonts w:eastAsia="Verdana" w:cs="Verdana"/>
                <w:b/>
                <w:bCs/>
                <w:sz w:val="20"/>
                <w:szCs w:val="20"/>
              </w:rPr>
              <w:t>Next steps</w:t>
            </w:r>
          </w:p>
        </w:tc>
      </w:tr>
      <w:tr w:rsidR="00AE3C42" w:rsidRPr="006B6723" w14:paraId="122F6F3A" w14:textId="3F439FB9" w:rsidTr="00AE3C42">
        <w:trPr>
          <w:cnfStyle w:val="000000100000" w:firstRow="0" w:lastRow="0" w:firstColumn="0" w:lastColumn="0" w:oddVBand="0" w:evenVBand="0" w:oddHBand="1" w:evenHBand="0" w:firstRowFirstColumn="0" w:firstRowLastColumn="0" w:lastRowFirstColumn="0" w:lastRowLastColumn="0"/>
          <w:trHeight w:val="300"/>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77FEB216" w14:textId="4B21494E" w:rsidR="00AE3C42" w:rsidRPr="006B6723" w:rsidRDefault="00AE3C42" w:rsidP="00530A4C">
            <w:pPr>
              <w:spacing w:before="60" w:after="60" w:line="240" w:lineRule="auto"/>
              <w:jc w:val="center"/>
              <w:rPr>
                <w:rFonts w:eastAsia="Verdana" w:cs="Verdana"/>
                <w:color w:val="000000" w:themeColor="text1"/>
                <w:sz w:val="20"/>
              </w:rPr>
            </w:pPr>
            <w:r w:rsidRPr="006B6723">
              <w:rPr>
                <w:rStyle w:val="normaltextrun"/>
                <w:rFonts w:eastAsia="Verdana" w:cs="Verdana"/>
                <w:color w:val="000000" w:themeColor="text1"/>
                <w:sz w:val="20"/>
                <w:szCs w:val="20"/>
              </w:rPr>
              <w:t>1.1</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0102E08B" w14:textId="468BC5DE" w:rsidR="00AE3C42" w:rsidRPr="006B6723" w:rsidRDefault="00AE3C42" w:rsidP="00530A4C">
            <w:pPr>
              <w:spacing w:before="60" w:after="60" w:line="240" w:lineRule="auto"/>
              <w:rPr>
                <w:sz w:val="20"/>
              </w:rPr>
            </w:pPr>
            <w:r w:rsidRPr="006B6723">
              <w:rPr>
                <w:sz w:val="20"/>
              </w:rPr>
              <w:t>Delivering the Tourism Australia Demand Strategy 2035 and the next stage of Tourism Australia’s Come and Say G’day campaign, with $130 million invested to encourage international travellers to book an Australian holiday.</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5743DB92" w14:textId="41620B7F" w:rsidR="00AE3C42" w:rsidRPr="006B6723" w:rsidRDefault="00AE3C42" w:rsidP="00530A4C">
            <w:pPr>
              <w:spacing w:before="60" w:after="60" w:line="240" w:lineRule="auto"/>
              <w:rPr>
                <w:sz w:val="20"/>
              </w:rPr>
            </w:pPr>
            <w:r w:rsidRPr="006B6723">
              <w:rPr>
                <w:sz w:val="20"/>
              </w:rPr>
              <w:t>Tourism Australia</w:t>
            </w:r>
          </w:p>
          <w:p w14:paraId="666CF35C" w14:textId="7502F6F5" w:rsidR="00AE3C42" w:rsidRPr="006B6723" w:rsidRDefault="00AE3C42" w:rsidP="00530A4C">
            <w:pPr>
              <w:spacing w:before="60" w:after="60" w:line="240" w:lineRule="auto"/>
              <w:rPr>
                <w:sz w:val="20"/>
              </w:rPr>
            </w:pPr>
          </w:p>
        </w:tc>
        <w:tc>
          <w:tcPr>
            <w:tcW w:w="5167" w:type="dxa"/>
            <w:tcBorders>
              <w:top w:val="single" w:sz="6" w:space="0" w:color="auto"/>
              <w:left w:val="single" w:sz="6" w:space="0" w:color="auto"/>
              <w:bottom w:val="single" w:sz="6" w:space="0" w:color="auto"/>
              <w:right w:val="single" w:sz="6" w:space="0" w:color="auto"/>
            </w:tcBorders>
          </w:tcPr>
          <w:p w14:paraId="1D99BBDA" w14:textId="4405E632" w:rsidR="00AE3C42" w:rsidRPr="006B6723" w:rsidRDefault="00AE3C42" w:rsidP="00530A4C">
            <w:pPr>
              <w:spacing w:before="60" w:after="60" w:line="240" w:lineRule="auto"/>
              <w:rPr>
                <w:rFonts w:eastAsia="Verdana" w:cs="Verdana"/>
                <w:sz w:val="20"/>
              </w:rPr>
            </w:pPr>
            <w:r>
              <w:rPr>
                <w:rFonts w:eastAsia="Verdana" w:cs="Verdana"/>
                <w:sz w:val="20"/>
              </w:rPr>
              <w:t xml:space="preserve">Work on </w:t>
            </w:r>
            <w:r w:rsidRPr="006B6723">
              <w:rPr>
                <w:rFonts w:eastAsia="Verdana" w:cs="Verdana"/>
                <w:sz w:val="20"/>
              </w:rPr>
              <w:t xml:space="preserve">Tourism Australia’s demand strategy ‘Tourism 2035’ is </w:t>
            </w:r>
            <w:r w:rsidRPr="00A97DEC">
              <w:rPr>
                <w:rFonts w:eastAsia="Verdana" w:cs="Verdana"/>
                <w:sz w:val="20"/>
              </w:rPr>
              <w:t>ongoing</w:t>
            </w:r>
            <w:r w:rsidRPr="006B6723">
              <w:rPr>
                <w:rFonts w:eastAsia="Verdana" w:cs="Verdana"/>
                <w:sz w:val="20"/>
              </w:rPr>
              <w:t>.</w:t>
            </w:r>
          </w:p>
        </w:tc>
        <w:tc>
          <w:tcPr>
            <w:tcW w:w="6837" w:type="dxa"/>
            <w:tcBorders>
              <w:top w:val="single" w:sz="6" w:space="0" w:color="auto"/>
              <w:left w:val="single" w:sz="6" w:space="0" w:color="auto"/>
              <w:bottom w:val="single" w:sz="6" w:space="0" w:color="auto"/>
              <w:right w:val="single" w:sz="6" w:space="0" w:color="auto"/>
            </w:tcBorders>
          </w:tcPr>
          <w:p w14:paraId="414B6832" w14:textId="20250567" w:rsidR="00AE3C42" w:rsidRPr="006B6723" w:rsidRDefault="00AE3C42" w:rsidP="00454391">
            <w:pPr>
              <w:spacing w:before="60" w:after="60" w:line="240" w:lineRule="auto"/>
              <w:rPr>
                <w:rFonts w:eastAsia="Verdana" w:cs="Verdana"/>
                <w:sz w:val="20"/>
              </w:rPr>
            </w:pPr>
            <w:r w:rsidRPr="006B6723">
              <w:rPr>
                <w:rFonts w:eastAsia="Verdana" w:cs="Verdana"/>
                <w:sz w:val="20"/>
              </w:rPr>
              <w:t xml:space="preserve">‘Tourism 2035’ is expected to be launched in </w:t>
            </w:r>
            <w:r w:rsidRPr="00A97DEC">
              <w:rPr>
                <w:rFonts w:eastAsia="Verdana" w:cs="Verdana"/>
                <w:sz w:val="20"/>
              </w:rPr>
              <w:t>late</w:t>
            </w:r>
            <w:r w:rsidRPr="006B6723">
              <w:rPr>
                <w:rFonts w:eastAsia="Verdana" w:cs="Verdana"/>
                <w:sz w:val="20"/>
              </w:rPr>
              <w:t xml:space="preserve"> 2026. Tourism Australia’s </w:t>
            </w:r>
            <w:r w:rsidRPr="006B6723">
              <w:rPr>
                <w:rFonts w:eastAsia="Verdana" w:cs="Verdana"/>
                <w:i/>
                <w:iCs/>
                <w:sz w:val="20"/>
              </w:rPr>
              <w:t>Come and Say G’day</w:t>
            </w:r>
            <w:r w:rsidRPr="006B6723">
              <w:rPr>
                <w:rFonts w:eastAsia="Verdana" w:cs="Verdana"/>
                <w:sz w:val="20"/>
              </w:rPr>
              <w:t xml:space="preserve"> campaign continues.</w:t>
            </w:r>
          </w:p>
        </w:tc>
      </w:tr>
      <w:tr w:rsidR="00AE3C42" w:rsidRPr="006B6723" w14:paraId="5618DE63" w14:textId="5D475E21" w:rsidTr="00AE3C42">
        <w:trPr>
          <w:trHeight w:val="300"/>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6A76CE0E" w14:textId="57061F5C" w:rsidR="00AE3C42" w:rsidRPr="006B6723" w:rsidRDefault="00AE3C42" w:rsidP="00530A4C">
            <w:pPr>
              <w:spacing w:before="60" w:after="60" w:line="240" w:lineRule="auto"/>
              <w:jc w:val="center"/>
              <w:rPr>
                <w:rFonts w:eastAsia="Verdana" w:cs="Verdana"/>
                <w:color w:val="000000" w:themeColor="text1"/>
                <w:sz w:val="20"/>
              </w:rPr>
            </w:pPr>
            <w:r w:rsidRPr="006B6723">
              <w:rPr>
                <w:rStyle w:val="normaltextrun"/>
                <w:rFonts w:eastAsia="Verdana" w:cs="Verdana"/>
                <w:color w:val="000000" w:themeColor="text1"/>
                <w:sz w:val="20"/>
                <w:szCs w:val="20"/>
              </w:rPr>
              <w:t>1.2</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6ACBEBC4" w14:textId="00BD362D" w:rsidR="00AE3C42" w:rsidRPr="006B6723" w:rsidRDefault="00AE3C42" w:rsidP="00530A4C">
            <w:pPr>
              <w:spacing w:before="60" w:after="60" w:line="240" w:lineRule="auto"/>
              <w:rPr>
                <w:sz w:val="20"/>
              </w:rPr>
            </w:pPr>
            <w:r w:rsidRPr="006B6723">
              <w:rPr>
                <w:sz w:val="20"/>
              </w:rPr>
              <w:t>Developing and then implementing an International Diversification Strategy for the visitor economy to build industry’s resilience, capability and understanding of new markets, capture new growth opportunities and broaden the spread of valuable visitor markets.</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2C20A1A2" w14:textId="3C1664AD" w:rsidR="00AE3C42" w:rsidRPr="006B6723" w:rsidRDefault="00AE3C42" w:rsidP="00530A4C">
            <w:pPr>
              <w:spacing w:before="60" w:after="60" w:line="240" w:lineRule="auto"/>
              <w:rPr>
                <w:sz w:val="20"/>
              </w:rPr>
            </w:pPr>
            <w:r w:rsidRPr="006B6723">
              <w:rPr>
                <w:sz w:val="20"/>
              </w:rPr>
              <w:t>Austrade, Tourism Australia</w:t>
            </w:r>
          </w:p>
        </w:tc>
        <w:tc>
          <w:tcPr>
            <w:tcW w:w="5167" w:type="dxa"/>
            <w:tcBorders>
              <w:top w:val="single" w:sz="6" w:space="0" w:color="auto"/>
              <w:left w:val="single" w:sz="6" w:space="0" w:color="auto"/>
              <w:bottom w:val="single" w:sz="6" w:space="0" w:color="auto"/>
              <w:right w:val="single" w:sz="6" w:space="0" w:color="auto"/>
            </w:tcBorders>
          </w:tcPr>
          <w:p w14:paraId="2095C641" w14:textId="25BA67B3" w:rsidR="00AE3C42" w:rsidRPr="006B6723" w:rsidRDefault="00AE3C42" w:rsidP="00530A4C">
            <w:pPr>
              <w:spacing w:before="60" w:after="60" w:line="240" w:lineRule="auto"/>
              <w:rPr>
                <w:rFonts w:eastAsia="Verdana" w:cs="Verdana"/>
                <w:sz w:val="20"/>
              </w:rPr>
            </w:pPr>
            <w:r w:rsidRPr="006B6723">
              <w:rPr>
                <w:rFonts w:eastAsia="Verdana" w:cs="Verdana"/>
                <w:sz w:val="20"/>
              </w:rPr>
              <w:t xml:space="preserve">With funding support from </w:t>
            </w:r>
            <w:r w:rsidRPr="373D2F29">
              <w:rPr>
                <w:rFonts w:eastAsia="Verdana" w:cs="Verdana"/>
                <w:sz w:val="20"/>
              </w:rPr>
              <w:t>the</w:t>
            </w:r>
            <w:r w:rsidRPr="006B6723">
              <w:rPr>
                <w:rFonts w:eastAsia="Verdana" w:cs="Verdana"/>
                <w:sz w:val="20"/>
              </w:rPr>
              <w:t xml:space="preserve"> Office of Tourism and the Visitor Economy, an </w:t>
            </w:r>
            <w:hyperlink r:id="rId11" w:history="1">
              <w:r w:rsidRPr="007D6433">
                <w:rPr>
                  <w:rStyle w:val="Hyperlink"/>
                  <w:rFonts w:eastAsia="Verdana" w:cs="Verdana"/>
                  <w:sz w:val="20"/>
                </w:rPr>
                <w:t>Australia</w:t>
              </w:r>
              <w:r w:rsidRPr="007D6433">
                <w:rPr>
                  <w:rStyle w:val="Hyperlink"/>
                </w:rPr>
                <w:noBreakHyphen/>
              </w:r>
              <w:r w:rsidRPr="007D6433">
                <w:rPr>
                  <w:rStyle w:val="Hyperlink"/>
                  <w:rFonts w:eastAsia="Verdana" w:cs="Verdana"/>
                  <w:sz w:val="20"/>
                </w:rPr>
                <w:t>China Business Council report</w:t>
              </w:r>
            </w:hyperlink>
            <w:r w:rsidRPr="006B6723">
              <w:rPr>
                <w:rFonts w:eastAsia="Verdana" w:cs="Verdana"/>
                <w:sz w:val="20"/>
              </w:rPr>
              <w:t xml:space="preserve"> on the impact and opportunities of inbound Chinese tourism, including for trade and investment, was published in May 2026</w:t>
            </w:r>
            <w:r>
              <w:rPr>
                <w:rFonts w:eastAsia="Verdana" w:cs="Verdana"/>
                <w:sz w:val="20"/>
              </w:rPr>
              <w:t>.</w:t>
            </w:r>
          </w:p>
          <w:p w14:paraId="4561E96A" w14:textId="3154E303" w:rsidR="00AE3C42" w:rsidRPr="006B6723" w:rsidRDefault="00AE3C42" w:rsidP="00530A4C">
            <w:pPr>
              <w:spacing w:before="60" w:after="60" w:line="240" w:lineRule="auto"/>
              <w:rPr>
                <w:rFonts w:eastAsia="Verdana" w:cs="Verdana"/>
                <w:sz w:val="20"/>
              </w:rPr>
            </w:pPr>
            <w:r w:rsidRPr="006B6723">
              <w:rPr>
                <w:rFonts w:eastAsia="Verdana" w:cs="Verdana"/>
                <w:sz w:val="20"/>
              </w:rPr>
              <w:t>Diversification strategy planning is underway.</w:t>
            </w:r>
          </w:p>
          <w:p w14:paraId="099C32D3" w14:textId="73EF64FE" w:rsidR="00AE3C42" w:rsidRPr="006B6723" w:rsidRDefault="00AE3C42" w:rsidP="00530A4C">
            <w:pPr>
              <w:spacing w:before="60" w:after="60" w:line="240" w:lineRule="auto"/>
              <w:rPr>
                <w:rFonts w:eastAsia="Verdana" w:cs="Verdana"/>
                <w:i/>
                <w:iCs/>
                <w:color w:val="FF0000"/>
                <w:sz w:val="20"/>
              </w:rPr>
            </w:pPr>
            <w:r w:rsidRPr="006B6723">
              <w:rPr>
                <w:rFonts w:eastAsia="Verdana" w:cs="Verdana"/>
                <w:sz w:val="20"/>
              </w:rPr>
              <w:t>An India Visiting Friends and Relatives (VFR) research project is underway, in collaboration with Griffith University. The research aims to quantify the value of the Indian VFR segment to Australia, identify drivers of Indian visitation to Australia, examine the role and impact of the Indian diaspora, and identify practical opportunities to increase Indian visitation.</w:t>
            </w:r>
          </w:p>
        </w:tc>
        <w:tc>
          <w:tcPr>
            <w:tcW w:w="6837" w:type="dxa"/>
            <w:tcBorders>
              <w:top w:val="single" w:sz="6" w:space="0" w:color="auto"/>
              <w:left w:val="single" w:sz="6" w:space="0" w:color="auto"/>
              <w:bottom w:val="single" w:sz="6" w:space="0" w:color="auto"/>
              <w:right w:val="single" w:sz="6" w:space="0" w:color="auto"/>
            </w:tcBorders>
          </w:tcPr>
          <w:p w14:paraId="3340D3CA" w14:textId="2F8AA0DB" w:rsidR="00AE3C42" w:rsidRPr="006B6723" w:rsidRDefault="00AE3C42" w:rsidP="00530A4C">
            <w:pPr>
              <w:spacing w:before="60" w:after="60" w:line="240" w:lineRule="auto"/>
              <w:rPr>
                <w:sz w:val="20"/>
              </w:rPr>
            </w:pPr>
            <w:r w:rsidRPr="006B6723">
              <w:rPr>
                <w:rFonts w:eastAsia="Verdana" w:cs="Verdana"/>
                <w:sz w:val="20"/>
              </w:rPr>
              <w:t>Targeted consultation on the international diversification strategy is planned with industry, state and territory representatives, and Australian Government agencies</w:t>
            </w:r>
            <w:r>
              <w:rPr>
                <w:rFonts w:eastAsia="Verdana" w:cs="Verdana"/>
                <w:sz w:val="20"/>
              </w:rPr>
              <w:t xml:space="preserve"> </w:t>
            </w:r>
            <w:r>
              <w:rPr>
                <w:rFonts w:eastAsia="Verdana" w:cs="Verdana"/>
                <w:color w:val="000000" w:themeColor="text1"/>
                <w:sz w:val="20"/>
              </w:rPr>
              <w:t xml:space="preserve">in </w:t>
            </w:r>
            <w:r>
              <w:rPr>
                <w:sz w:val="20"/>
              </w:rPr>
              <w:t xml:space="preserve">Q3 and Q4 </w:t>
            </w:r>
            <w:r w:rsidRPr="373D2F29">
              <w:rPr>
                <w:sz w:val="20"/>
              </w:rPr>
              <w:t>of 2026.</w:t>
            </w:r>
          </w:p>
          <w:p w14:paraId="13E1CB08" w14:textId="447ADC18" w:rsidR="00AE3C42" w:rsidRPr="006B6723" w:rsidRDefault="00AE3C42" w:rsidP="00530A4C">
            <w:pPr>
              <w:spacing w:before="60" w:after="60" w:line="240" w:lineRule="auto"/>
              <w:rPr>
                <w:rFonts w:eastAsia="Verdana" w:cs="Verdana"/>
                <w:sz w:val="20"/>
              </w:rPr>
            </w:pPr>
            <w:r w:rsidRPr="006B6723">
              <w:rPr>
                <w:rFonts w:eastAsia="Verdana" w:cs="Verdana"/>
                <w:sz w:val="20"/>
              </w:rPr>
              <w:t xml:space="preserve">The India VFR research project </w:t>
            </w:r>
            <w:r>
              <w:rPr>
                <w:rFonts w:eastAsia="Verdana" w:cs="Verdana"/>
                <w:sz w:val="20"/>
              </w:rPr>
              <w:t xml:space="preserve">is </w:t>
            </w:r>
            <w:r w:rsidRPr="006B6723">
              <w:rPr>
                <w:rFonts w:eastAsia="Verdana" w:cs="Verdana"/>
                <w:sz w:val="20"/>
              </w:rPr>
              <w:t>expected to be finalised in November 2026.</w:t>
            </w:r>
          </w:p>
          <w:p w14:paraId="7B22FB36" w14:textId="58397B7E" w:rsidR="00AE3C42" w:rsidRPr="006B6723" w:rsidRDefault="00AE3C42" w:rsidP="00530A4C">
            <w:pPr>
              <w:spacing w:before="60" w:after="60" w:line="240" w:lineRule="auto"/>
              <w:rPr>
                <w:rFonts w:eastAsia="Verdana" w:cs="Verdana"/>
                <w:sz w:val="20"/>
              </w:rPr>
            </w:pPr>
          </w:p>
        </w:tc>
      </w:tr>
      <w:tr w:rsidR="00AE3C42" w:rsidRPr="006B6723" w14:paraId="7EA133DD" w14:textId="2649D9A1" w:rsidTr="00AE3C42">
        <w:trPr>
          <w:cnfStyle w:val="000000100000" w:firstRow="0" w:lastRow="0" w:firstColumn="0" w:lastColumn="0" w:oddVBand="0" w:evenVBand="0" w:oddHBand="1" w:evenHBand="0" w:firstRowFirstColumn="0" w:firstRowLastColumn="0" w:lastRowFirstColumn="0" w:lastRowLastColumn="0"/>
          <w:trHeight w:val="300"/>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684D5D98" w14:textId="20EDE716" w:rsidR="00AE3C42" w:rsidRPr="006B6723" w:rsidRDefault="00AE3C42" w:rsidP="00530A4C">
            <w:pPr>
              <w:spacing w:before="60" w:after="60" w:line="240" w:lineRule="auto"/>
              <w:jc w:val="center"/>
              <w:rPr>
                <w:rFonts w:eastAsia="Verdana" w:cs="Verdana"/>
                <w:color w:val="000000" w:themeColor="text1"/>
                <w:sz w:val="20"/>
              </w:rPr>
            </w:pPr>
            <w:r w:rsidRPr="006B6723">
              <w:rPr>
                <w:rStyle w:val="normaltextrun"/>
                <w:rFonts w:eastAsia="Verdana" w:cs="Verdana"/>
                <w:color w:val="000000" w:themeColor="text1"/>
                <w:sz w:val="20"/>
                <w:szCs w:val="20"/>
              </w:rPr>
              <w:t>1.3</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7B0C7B23" w14:textId="011FE611" w:rsidR="00AE3C42" w:rsidRPr="006B6723" w:rsidRDefault="00AE3C42" w:rsidP="00530A4C">
            <w:pPr>
              <w:spacing w:before="60" w:after="60" w:line="240" w:lineRule="auto"/>
              <w:rPr>
                <w:sz w:val="20"/>
              </w:rPr>
            </w:pPr>
            <w:r w:rsidRPr="006B6723">
              <w:rPr>
                <w:sz w:val="20"/>
              </w:rPr>
              <w:t>Delivering a competitive and fit-for-purpose Approved Destination Status (ADS) scheme for Chinese group travel through an $8 million investment over 4 years and ongoing funding.</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28DCF5A3" w14:textId="7FD2FA25" w:rsidR="00AE3C42" w:rsidRPr="006B6723" w:rsidRDefault="00AE3C42" w:rsidP="00530A4C">
            <w:pPr>
              <w:spacing w:before="60" w:after="60" w:line="240" w:lineRule="auto"/>
              <w:rPr>
                <w:sz w:val="20"/>
              </w:rPr>
            </w:pPr>
            <w:r w:rsidRPr="006B6723">
              <w:rPr>
                <w:sz w:val="20"/>
              </w:rPr>
              <w:t xml:space="preserve">Austrade </w:t>
            </w:r>
            <w:r w:rsidRPr="00F531C7">
              <w:rPr>
                <w:sz w:val="20"/>
              </w:rPr>
              <w:t>(Department of Home Affairs)</w:t>
            </w:r>
          </w:p>
        </w:tc>
        <w:tc>
          <w:tcPr>
            <w:tcW w:w="5167" w:type="dxa"/>
            <w:tcBorders>
              <w:top w:val="single" w:sz="6" w:space="0" w:color="auto"/>
              <w:left w:val="single" w:sz="6" w:space="0" w:color="auto"/>
              <w:bottom w:val="single" w:sz="6" w:space="0" w:color="auto"/>
              <w:right w:val="single" w:sz="6" w:space="0" w:color="auto"/>
            </w:tcBorders>
          </w:tcPr>
          <w:p w14:paraId="35D4B443" w14:textId="09F3E9F6" w:rsidR="00AE3C42" w:rsidRPr="006B6723" w:rsidRDefault="00AE3C42" w:rsidP="00530A4C">
            <w:pPr>
              <w:spacing w:before="60" w:after="60" w:line="240" w:lineRule="auto"/>
              <w:rPr>
                <w:rFonts w:eastAsia="Verdana" w:cs="Verdana"/>
                <w:sz w:val="20"/>
              </w:rPr>
            </w:pPr>
            <w:r w:rsidRPr="006B6723">
              <w:rPr>
                <w:rFonts w:eastAsia="Verdana" w:cs="Verdana"/>
                <w:sz w:val="20"/>
              </w:rPr>
              <w:t xml:space="preserve">Upgrades have been made to the ADS IT platform to improve the user experience. </w:t>
            </w:r>
          </w:p>
          <w:p w14:paraId="29570996" w14:textId="5063A2FF" w:rsidR="00AE3C42" w:rsidRPr="006B6723" w:rsidRDefault="00AE3C42" w:rsidP="00530A4C">
            <w:pPr>
              <w:spacing w:before="60" w:after="60" w:line="240" w:lineRule="auto"/>
              <w:rPr>
                <w:rFonts w:eastAsia="Verdana" w:cs="Verdana"/>
                <w:sz w:val="20"/>
              </w:rPr>
            </w:pPr>
            <w:r w:rsidRPr="373D2F29">
              <w:rPr>
                <w:rFonts w:eastAsia="Verdana" w:cs="Verdana"/>
                <w:sz w:val="20"/>
              </w:rPr>
              <w:t>The</w:t>
            </w:r>
            <w:r w:rsidRPr="006B6723">
              <w:rPr>
                <w:rFonts w:eastAsia="Verdana" w:cs="Verdana"/>
                <w:sz w:val="20"/>
              </w:rPr>
              <w:t xml:space="preserve"> Office of Tourism and the Visitor Economy held consultations with industry and states and territories on opportunities for the ADS scheme and updating the ADS Code of Business Standards and Ethics. </w:t>
            </w:r>
          </w:p>
          <w:p w14:paraId="51BD8AF4" w14:textId="153FECF9" w:rsidR="00AE3C42" w:rsidRPr="006B6723" w:rsidRDefault="00AE3C42" w:rsidP="00530A4C">
            <w:pPr>
              <w:spacing w:before="60" w:after="60" w:line="240" w:lineRule="auto"/>
              <w:rPr>
                <w:rFonts w:eastAsia="Verdana" w:cs="Verdana"/>
                <w:sz w:val="20"/>
              </w:rPr>
            </w:pPr>
            <w:r w:rsidRPr="006B6723">
              <w:rPr>
                <w:rFonts w:eastAsia="Verdana" w:cs="Verdana"/>
                <w:sz w:val="20"/>
              </w:rPr>
              <w:t>The Department of Home Affairs supports the ongoing delivery of the ADS scheme through the efficient management of the immigration requirements and the approval of outbound travel operators (OTOs).</w:t>
            </w:r>
          </w:p>
        </w:tc>
        <w:tc>
          <w:tcPr>
            <w:tcW w:w="6837" w:type="dxa"/>
            <w:tcBorders>
              <w:top w:val="single" w:sz="6" w:space="0" w:color="auto"/>
              <w:left w:val="single" w:sz="6" w:space="0" w:color="auto"/>
              <w:bottom w:val="single" w:sz="6" w:space="0" w:color="auto"/>
              <w:right w:val="single" w:sz="6" w:space="0" w:color="auto"/>
            </w:tcBorders>
          </w:tcPr>
          <w:p w14:paraId="6C15FAC9" w14:textId="3E41668E" w:rsidR="00AE3C42" w:rsidRPr="006B6723" w:rsidRDefault="00AE3C42" w:rsidP="00530A4C">
            <w:pPr>
              <w:spacing w:before="60" w:after="60" w:line="240" w:lineRule="auto"/>
              <w:rPr>
                <w:rFonts w:eastAsia="Verdana" w:cs="Verdana"/>
                <w:sz w:val="20"/>
              </w:rPr>
            </w:pPr>
            <w:r w:rsidRPr="006B6723">
              <w:rPr>
                <w:rFonts w:eastAsia="Verdana" w:cs="Verdana"/>
                <w:sz w:val="20"/>
              </w:rPr>
              <w:t>To support Chinese tour groups visiting Australia, a bilingual tour guide booklet is planned to be published in July 2026.</w:t>
            </w:r>
          </w:p>
          <w:p w14:paraId="0314F842" w14:textId="2E5602A0" w:rsidR="00AE3C42" w:rsidRPr="006B6723" w:rsidRDefault="00AE3C42" w:rsidP="00530A4C">
            <w:pPr>
              <w:spacing w:before="60" w:after="60" w:line="240" w:lineRule="auto"/>
              <w:rPr>
                <w:rFonts w:eastAsia="Verdana" w:cs="Verdana"/>
                <w:sz w:val="20"/>
              </w:rPr>
            </w:pPr>
            <w:r w:rsidRPr="006B6723">
              <w:rPr>
                <w:rFonts w:eastAsia="Verdana" w:cs="Verdana"/>
                <w:sz w:val="20"/>
              </w:rPr>
              <w:t xml:space="preserve">Work to </w:t>
            </w:r>
            <w:r w:rsidRPr="00937B46">
              <w:rPr>
                <w:rFonts w:eastAsia="Verdana" w:cs="Verdana"/>
                <w:sz w:val="20"/>
              </w:rPr>
              <w:t>modernise</w:t>
            </w:r>
            <w:r w:rsidRPr="006B6723">
              <w:rPr>
                <w:rFonts w:eastAsia="Verdana" w:cs="Verdana"/>
                <w:sz w:val="20"/>
              </w:rPr>
              <w:t xml:space="preserve"> the ADS Code of Business Standards and Ethnics </w:t>
            </w:r>
            <w:r w:rsidRPr="00937B46">
              <w:rPr>
                <w:rFonts w:eastAsia="Verdana" w:cs="Verdana"/>
                <w:sz w:val="20"/>
              </w:rPr>
              <w:t xml:space="preserve">based on </w:t>
            </w:r>
            <w:r w:rsidRPr="006B6723">
              <w:rPr>
                <w:rFonts w:eastAsia="Verdana" w:cs="Verdana"/>
                <w:sz w:val="20"/>
              </w:rPr>
              <w:t>consultation feedback</w:t>
            </w:r>
            <w:r w:rsidRPr="00937B46">
              <w:rPr>
                <w:rFonts w:eastAsia="Verdana" w:cs="Verdana"/>
                <w:sz w:val="20"/>
              </w:rPr>
              <w:t xml:space="preserve"> is planned for the coming months, with the updated Code to be finalised by early 2027</w:t>
            </w:r>
            <w:r>
              <w:rPr>
                <w:rFonts w:eastAsia="Verdana" w:cs="Verdana"/>
                <w:sz w:val="20"/>
              </w:rPr>
              <w:t>.</w:t>
            </w:r>
          </w:p>
        </w:tc>
      </w:tr>
      <w:tr w:rsidR="004E3D60" w:rsidRPr="006B6723" w14:paraId="68A9EEE6" w14:textId="30CFE2D3" w:rsidTr="00AE3C42">
        <w:trPr>
          <w:trHeight w:val="300"/>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70C54DD4" w14:textId="61C70896" w:rsidR="004E3D60" w:rsidRPr="006B6723" w:rsidRDefault="004E3D60" w:rsidP="004E3D60">
            <w:pPr>
              <w:spacing w:before="60" w:after="60" w:line="240" w:lineRule="auto"/>
              <w:jc w:val="center"/>
              <w:rPr>
                <w:rFonts w:eastAsia="Verdana" w:cs="Verdana"/>
                <w:color w:val="000000" w:themeColor="text1"/>
                <w:sz w:val="20"/>
              </w:rPr>
            </w:pPr>
            <w:r w:rsidRPr="006B6723">
              <w:rPr>
                <w:rStyle w:val="normaltextrun"/>
                <w:rFonts w:eastAsia="Verdana" w:cs="Verdana"/>
                <w:color w:val="000000" w:themeColor="text1"/>
                <w:sz w:val="20"/>
                <w:szCs w:val="20"/>
              </w:rPr>
              <w:t>1.4</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5C47A3C4" w14:textId="358DF7E7" w:rsidR="004E3D60" w:rsidRPr="006B6723" w:rsidRDefault="004E3D60" w:rsidP="004E3D60">
            <w:pPr>
              <w:spacing w:before="60" w:after="60" w:line="240" w:lineRule="auto"/>
              <w:rPr>
                <w:sz w:val="20"/>
              </w:rPr>
            </w:pPr>
            <w:r w:rsidRPr="006B6723">
              <w:rPr>
                <w:sz w:val="20"/>
              </w:rPr>
              <w:t>Supporting and enabling international visitation and market growth through balanced, agile and efficient management of the visitor visa program.</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436289D1" w14:textId="305A918F" w:rsidR="004E3D60" w:rsidRPr="006B6723" w:rsidRDefault="004E3D60" w:rsidP="004E3D60">
            <w:pPr>
              <w:spacing w:before="60" w:after="60" w:line="240" w:lineRule="auto"/>
              <w:rPr>
                <w:sz w:val="20"/>
              </w:rPr>
            </w:pPr>
            <w:r w:rsidRPr="006B6723">
              <w:rPr>
                <w:sz w:val="20"/>
              </w:rPr>
              <w:t>Department of Home Affairs</w:t>
            </w:r>
          </w:p>
        </w:tc>
        <w:tc>
          <w:tcPr>
            <w:tcW w:w="5167" w:type="dxa"/>
            <w:tcBorders>
              <w:top w:val="single" w:sz="6" w:space="0" w:color="auto"/>
              <w:left w:val="single" w:sz="6" w:space="0" w:color="auto"/>
              <w:bottom w:val="single" w:sz="6" w:space="0" w:color="auto"/>
              <w:right w:val="single" w:sz="6" w:space="0" w:color="auto"/>
            </w:tcBorders>
          </w:tcPr>
          <w:p w14:paraId="47D99A9F" w14:textId="23728EC5" w:rsidR="004E3D60" w:rsidRPr="006B6723" w:rsidRDefault="004E3D60" w:rsidP="004E3D60">
            <w:pPr>
              <w:spacing w:before="60" w:after="60" w:line="240" w:lineRule="auto"/>
              <w:rPr>
                <w:rFonts w:eastAsia="Verdana" w:cs="Verdana"/>
                <w:sz w:val="20"/>
              </w:rPr>
            </w:pPr>
            <w:r w:rsidRPr="74CBCF4F">
              <w:rPr>
                <w:rFonts w:eastAsia="Verdana" w:cs="Verdana"/>
                <w:sz w:val="20"/>
              </w:rPr>
              <w:t>Eligible</w:t>
            </w:r>
            <w:r w:rsidRPr="006B6723">
              <w:rPr>
                <w:rFonts w:eastAsia="Verdana" w:cs="Verdana"/>
                <w:sz w:val="20"/>
              </w:rPr>
              <w:t xml:space="preserve"> visitor visa products </w:t>
            </w:r>
            <w:r w:rsidRPr="74CBCF4F">
              <w:rPr>
                <w:rFonts w:eastAsia="Verdana" w:cs="Verdana"/>
                <w:sz w:val="20"/>
              </w:rPr>
              <w:t xml:space="preserve">can be lodged </w:t>
            </w:r>
            <w:r w:rsidRPr="006B6723">
              <w:rPr>
                <w:rFonts w:eastAsia="Verdana" w:cs="Verdana"/>
                <w:sz w:val="20"/>
              </w:rPr>
              <w:t>online, including via an app for the Electronic Travel Authority (ETA) for eligible passport holders.</w:t>
            </w:r>
          </w:p>
        </w:tc>
        <w:tc>
          <w:tcPr>
            <w:tcW w:w="6837" w:type="dxa"/>
            <w:tcBorders>
              <w:top w:val="single" w:sz="6" w:space="0" w:color="auto"/>
              <w:left w:val="single" w:sz="6" w:space="0" w:color="auto"/>
              <w:bottom w:val="single" w:sz="6" w:space="0" w:color="auto"/>
              <w:right w:val="single" w:sz="6" w:space="0" w:color="auto"/>
            </w:tcBorders>
            <w:shd w:val="clear" w:color="auto" w:fill="FFFFFF" w:themeFill="background1"/>
          </w:tcPr>
          <w:p w14:paraId="027988E2" w14:textId="71E0C926" w:rsidR="004E3D60" w:rsidRPr="00DD36F8" w:rsidRDefault="004E3D60" w:rsidP="004E3D60">
            <w:pPr>
              <w:spacing w:before="60" w:after="60" w:line="240" w:lineRule="auto"/>
              <w:rPr>
                <w:rFonts w:eastAsia="Verdana" w:cs="Verdana"/>
                <w:sz w:val="20"/>
              </w:rPr>
            </w:pPr>
            <w:r w:rsidRPr="00DD36F8">
              <w:rPr>
                <w:rFonts w:eastAsia="Verdana" w:cs="Verdana"/>
                <w:sz w:val="20"/>
              </w:rPr>
              <w:t>Visitor visa holders in Australia increased 5.0%, from 629,075 (31 Dec 2024) to 660,545 (31 Dec 2025). Visitor visa applications and finalisations increased 8.4% in 2025–26 (to 31 Dec 2025) compared to the same period in 2024–25. Median processing times for Visitor and Working Holiday Maker visas remained below one day.</w:t>
            </w:r>
          </w:p>
          <w:p w14:paraId="62215301" w14:textId="0B84F17D" w:rsidR="004E3D60" w:rsidRPr="006B6723" w:rsidRDefault="004E3D60" w:rsidP="004E3D60">
            <w:pPr>
              <w:spacing w:before="60" w:after="60" w:line="240" w:lineRule="auto"/>
              <w:rPr>
                <w:rFonts w:eastAsia="Verdana" w:cs="Verdana"/>
                <w:sz w:val="20"/>
              </w:rPr>
            </w:pPr>
          </w:p>
        </w:tc>
      </w:tr>
      <w:tr w:rsidR="004E3D60" w:rsidRPr="006B6723" w14:paraId="6E8914AD" w14:textId="4E01D518" w:rsidTr="00AE3C42">
        <w:trPr>
          <w:cnfStyle w:val="000000100000" w:firstRow="0" w:lastRow="0" w:firstColumn="0" w:lastColumn="0" w:oddVBand="0" w:evenVBand="0" w:oddHBand="1" w:evenHBand="0" w:firstRowFirstColumn="0" w:firstRowLastColumn="0" w:lastRowFirstColumn="0" w:lastRowLastColumn="0"/>
          <w:trHeight w:val="300"/>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128F0984" w14:textId="2BA15B47" w:rsidR="004E3D60" w:rsidRPr="006B6723" w:rsidRDefault="004E3D60" w:rsidP="004E3D60">
            <w:pPr>
              <w:spacing w:before="60" w:after="60" w:line="240" w:lineRule="auto"/>
              <w:jc w:val="center"/>
              <w:rPr>
                <w:rFonts w:eastAsia="Verdana" w:cs="Verdana"/>
                <w:color w:val="000000" w:themeColor="text1"/>
                <w:sz w:val="20"/>
              </w:rPr>
            </w:pPr>
            <w:r w:rsidRPr="006B6723">
              <w:rPr>
                <w:rStyle w:val="normaltextrun"/>
                <w:rFonts w:eastAsia="Verdana" w:cs="Verdana"/>
                <w:color w:val="000000" w:themeColor="text1"/>
                <w:sz w:val="20"/>
                <w:szCs w:val="20"/>
              </w:rPr>
              <w:lastRenderedPageBreak/>
              <w:t>1.5</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146CCED1" w14:textId="270C0E49" w:rsidR="004E3D60" w:rsidRPr="006B6723" w:rsidRDefault="004E3D60" w:rsidP="004E3D60">
            <w:pPr>
              <w:spacing w:before="60" w:after="60" w:line="240" w:lineRule="auto"/>
              <w:rPr>
                <w:sz w:val="20"/>
              </w:rPr>
            </w:pPr>
            <w:r w:rsidRPr="006B6723">
              <w:rPr>
                <w:sz w:val="20"/>
              </w:rPr>
              <w:t>Modernising and streamlining traveller border clearances for air and cruise travellers, including through trialling digital incoming passenger cards, while maintaining strong security and biosecurity protections for Australia.</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2D46F4CE" w14:textId="30358E85" w:rsidR="004E3D60" w:rsidRPr="006B6723" w:rsidRDefault="004E3D60" w:rsidP="004E3D60">
            <w:pPr>
              <w:spacing w:before="60" w:after="60" w:line="240" w:lineRule="auto"/>
              <w:rPr>
                <w:sz w:val="20"/>
              </w:rPr>
            </w:pPr>
            <w:r w:rsidRPr="006B6723">
              <w:rPr>
                <w:sz w:val="20"/>
              </w:rPr>
              <w:t>Australian Border Force, Department of Agriculture, F</w:t>
            </w:r>
            <w:r w:rsidR="00893251">
              <w:rPr>
                <w:sz w:val="20"/>
              </w:rPr>
              <w:t>isheries</w:t>
            </w:r>
            <w:r w:rsidRPr="006B6723">
              <w:rPr>
                <w:sz w:val="20"/>
              </w:rPr>
              <w:t xml:space="preserve"> and F</w:t>
            </w:r>
            <w:r w:rsidR="00893251">
              <w:rPr>
                <w:sz w:val="20"/>
              </w:rPr>
              <w:t>orestry</w:t>
            </w:r>
            <w:r w:rsidRPr="006B6723">
              <w:rPr>
                <w:sz w:val="20"/>
              </w:rPr>
              <w:t xml:space="preserve"> (DAFF)</w:t>
            </w:r>
          </w:p>
        </w:tc>
        <w:tc>
          <w:tcPr>
            <w:tcW w:w="5167" w:type="dxa"/>
            <w:tcBorders>
              <w:top w:val="single" w:sz="6" w:space="0" w:color="auto"/>
              <w:left w:val="single" w:sz="6" w:space="0" w:color="auto"/>
              <w:bottom w:val="single" w:sz="6" w:space="0" w:color="auto"/>
              <w:right w:val="single" w:sz="6" w:space="0" w:color="auto"/>
            </w:tcBorders>
          </w:tcPr>
          <w:p w14:paraId="6663D32F" w14:textId="77777777" w:rsidR="004E3D60" w:rsidRDefault="004E3D60" w:rsidP="004E3D60">
            <w:pPr>
              <w:spacing w:before="60" w:after="60" w:line="240" w:lineRule="auto"/>
              <w:rPr>
                <w:rFonts w:eastAsia="Verdana" w:cs="Verdana"/>
                <w:sz w:val="20"/>
              </w:rPr>
            </w:pPr>
            <w:r w:rsidRPr="006B6723">
              <w:rPr>
                <w:rFonts w:eastAsia="Verdana" w:cs="Verdana"/>
                <w:sz w:val="20"/>
              </w:rPr>
              <w:t>The digital incoming passenger card, the Australian Travel Declaration (ATD), pilot was expanded to Melbourne Airport on 26 May 2026.</w:t>
            </w:r>
          </w:p>
          <w:p w14:paraId="6461C289" w14:textId="4A39E44D" w:rsidR="002A7D96" w:rsidRPr="002A7D96" w:rsidRDefault="001E733B" w:rsidP="001E733B">
            <w:pPr>
              <w:spacing w:before="60" w:after="60" w:line="240" w:lineRule="auto"/>
              <w:rPr>
                <w:rFonts w:eastAsia="Verdana" w:cs="Verdana"/>
                <w:sz w:val="20"/>
              </w:rPr>
            </w:pPr>
            <w:r>
              <w:rPr>
                <w:rFonts w:eastAsia="Verdana" w:cs="Verdana"/>
                <w:color w:val="000000" w:themeColor="text1"/>
                <w:sz w:val="20"/>
              </w:rPr>
              <w:t xml:space="preserve">In July </w:t>
            </w:r>
            <w:r w:rsidRPr="00B91D42">
              <w:rPr>
                <w:rFonts w:eastAsia="Verdana" w:cs="Verdana"/>
                <w:sz w:val="20"/>
              </w:rPr>
              <w:t xml:space="preserve">2026, the Government announced $56.1m over the next four years for traveller modernisation activities, including to roll out the </w:t>
            </w:r>
            <w:r>
              <w:rPr>
                <w:rFonts w:eastAsia="Verdana" w:cs="Verdana"/>
                <w:sz w:val="20"/>
              </w:rPr>
              <w:t xml:space="preserve">digital </w:t>
            </w:r>
            <w:r w:rsidRPr="00B91D42">
              <w:rPr>
                <w:rFonts w:eastAsia="Verdana" w:cs="Verdana"/>
                <w:sz w:val="20"/>
              </w:rPr>
              <w:t>A</w:t>
            </w:r>
            <w:r>
              <w:rPr>
                <w:rFonts w:eastAsia="Verdana" w:cs="Verdana"/>
                <w:sz w:val="20"/>
              </w:rPr>
              <w:t xml:space="preserve">ustralian </w:t>
            </w:r>
            <w:r w:rsidRPr="00B91D42">
              <w:rPr>
                <w:rFonts w:eastAsia="Verdana" w:cs="Verdana"/>
                <w:sz w:val="20"/>
              </w:rPr>
              <w:t>T</w:t>
            </w:r>
            <w:r>
              <w:rPr>
                <w:rFonts w:eastAsia="Verdana" w:cs="Verdana"/>
                <w:sz w:val="20"/>
              </w:rPr>
              <w:t xml:space="preserve">raveller </w:t>
            </w:r>
            <w:r w:rsidRPr="00B91D42">
              <w:rPr>
                <w:rFonts w:eastAsia="Verdana" w:cs="Verdana"/>
                <w:sz w:val="20"/>
              </w:rPr>
              <w:t>D</w:t>
            </w:r>
            <w:r>
              <w:rPr>
                <w:rFonts w:eastAsia="Verdana" w:cs="Verdana"/>
                <w:sz w:val="20"/>
              </w:rPr>
              <w:t>eclaration (ATD)</w:t>
            </w:r>
            <w:r w:rsidRPr="00B91D42">
              <w:rPr>
                <w:rFonts w:eastAsia="Verdana" w:cs="Verdana"/>
                <w:sz w:val="20"/>
              </w:rPr>
              <w:t xml:space="preserve"> to all international airports over the next 12 to 18 months and introduce it into the cruise sector by the end of 2027.  The funding will also support ongoing co-design work with industry on new airport departures and cruise clearance models</w:t>
            </w:r>
            <w:r>
              <w:rPr>
                <w:rFonts w:eastAsia="Verdana" w:cs="Verdana"/>
                <w:sz w:val="20"/>
              </w:rPr>
              <w:t>.</w:t>
            </w:r>
          </w:p>
          <w:p w14:paraId="6F63133A" w14:textId="5D195A00" w:rsidR="001E733B" w:rsidRPr="006B6723" w:rsidRDefault="001E733B" w:rsidP="004E3D60">
            <w:pPr>
              <w:spacing w:before="60" w:after="60" w:line="240" w:lineRule="auto"/>
              <w:rPr>
                <w:rFonts w:eastAsia="Verdana" w:cs="Verdana"/>
                <w:color w:val="000000" w:themeColor="text1"/>
                <w:sz w:val="20"/>
              </w:rPr>
            </w:pPr>
          </w:p>
        </w:tc>
        <w:tc>
          <w:tcPr>
            <w:tcW w:w="6837" w:type="dxa"/>
            <w:tcBorders>
              <w:top w:val="single" w:sz="6" w:space="0" w:color="auto"/>
              <w:left w:val="single" w:sz="6" w:space="0" w:color="auto"/>
              <w:bottom w:val="single" w:sz="6" w:space="0" w:color="auto"/>
              <w:right w:val="single" w:sz="6" w:space="0" w:color="auto"/>
            </w:tcBorders>
          </w:tcPr>
          <w:p w14:paraId="3EE18D00" w14:textId="77777777" w:rsidR="004E3D60" w:rsidRDefault="004E3D60" w:rsidP="004E3D60">
            <w:pPr>
              <w:spacing w:before="60" w:after="60" w:line="240" w:lineRule="auto"/>
              <w:rPr>
                <w:sz w:val="20"/>
              </w:rPr>
            </w:pPr>
            <w:r w:rsidRPr="006B6723">
              <w:rPr>
                <w:sz w:val="20"/>
              </w:rPr>
              <w:t xml:space="preserve">The next stage of the </w:t>
            </w:r>
            <w:r w:rsidRPr="006B6723">
              <w:rPr>
                <w:rFonts w:eastAsia="Verdana" w:cs="Verdana"/>
                <w:sz w:val="20"/>
              </w:rPr>
              <w:t>ATD</w:t>
            </w:r>
            <w:r w:rsidRPr="006B6723">
              <w:rPr>
                <w:sz w:val="20"/>
              </w:rPr>
              <w:t xml:space="preserve"> trial is to develop family declaration capability</w:t>
            </w:r>
            <w:r>
              <w:rPr>
                <w:sz w:val="20"/>
              </w:rPr>
              <w:t xml:space="preserve"> in the second half of 2026</w:t>
            </w:r>
            <w:r w:rsidRPr="006B6723">
              <w:rPr>
                <w:sz w:val="20"/>
              </w:rPr>
              <w:t>.</w:t>
            </w:r>
          </w:p>
          <w:p w14:paraId="52FD0B6E" w14:textId="6DEAFFE1" w:rsidR="002A7D96" w:rsidRPr="006B6723" w:rsidRDefault="002A7D96" w:rsidP="004E3D60">
            <w:pPr>
              <w:spacing w:before="60" w:after="60" w:line="240" w:lineRule="auto"/>
              <w:rPr>
                <w:rFonts w:eastAsia="Verdana" w:cs="Verdana"/>
                <w:sz w:val="20"/>
              </w:rPr>
            </w:pPr>
            <w:r>
              <w:rPr>
                <w:sz w:val="20"/>
              </w:rPr>
              <w:t>Implementation of the digitisation of the Australian Traveller Declaration.</w:t>
            </w:r>
          </w:p>
        </w:tc>
      </w:tr>
      <w:tr w:rsidR="004E3D60" w:rsidRPr="006B6723" w14:paraId="7908C173" w14:textId="1108AA6B" w:rsidTr="00AE3C42">
        <w:trPr>
          <w:trHeight w:val="547"/>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78D70B7E" w14:textId="36EF3475" w:rsidR="004E3D60" w:rsidRPr="006B6723" w:rsidRDefault="004E3D60" w:rsidP="004E3D60">
            <w:pPr>
              <w:spacing w:before="60" w:after="60" w:line="240" w:lineRule="auto"/>
              <w:jc w:val="center"/>
              <w:rPr>
                <w:rFonts w:eastAsia="Verdana" w:cs="Verdana"/>
                <w:color w:val="000000" w:themeColor="text1"/>
                <w:sz w:val="20"/>
              </w:rPr>
            </w:pPr>
            <w:r w:rsidRPr="006B6723">
              <w:rPr>
                <w:rFonts w:eastAsia="Verdana" w:cs="Verdana"/>
                <w:color w:val="000000" w:themeColor="text1"/>
                <w:sz w:val="20"/>
              </w:rPr>
              <w:t>2.1</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0AD3009B" w14:textId="2842BF59" w:rsidR="004E3D60" w:rsidRPr="006B6723" w:rsidRDefault="004E3D60" w:rsidP="004E3D60">
            <w:pPr>
              <w:spacing w:before="60" w:after="60" w:line="240" w:lineRule="auto"/>
              <w:rPr>
                <w:rFonts w:eastAsia="Verdana" w:cs="Verdana"/>
                <w:color w:val="000000" w:themeColor="text1"/>
                <w:sz w:val="20"/>
              </w:rPr>
            </w:pPr>
            <w:r w:rsidRPr="006B6723">
              <w:rPr>
                <w:sz w:val="20"/>
              </w:rPr>
              <w:t>Supporting visitation to Australia’s iconic destinations with investment into Central Australia and the Great Barrier Reef, by investing $18.5 million in experiences to attract visitors, supporting small businesses and upgrading tourism infrastructure.</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0D4A4C34" w14:textId="794BB09A" w:rsidR="004E3D60" w:rsidRPr="006B6723" w:rsidRDefault="004E3D60" w:rsidP="004E3D60">
            <w:pPr>
              <w:spacing w:before="60" w:after="60" w:line="240" w:lineRule="auto"/>
              <w:rPr>
                <w:sz w:val="20"/>
              </w:rPr>
            </w:pPr>
            <w:r w:rsidRPr="006B6723">
              <w:rPr>
                <w:sz w:val="20"/>
              </w:rPr>
              <w:t>Austrade</w:t>
            </w:r>
          </w:p>
        </w:tc>
        <w:tc>
          <w:tcPr>
            <w:tcW w:w="5167" w:type="dxa"/>
            <w:tcBorders>
              <w:top w:val="single" w:sz="6" w:space="0" w:color="auto"/>
              <w:left w:val="single" w:sz="6" w:space="0" w:color="auto"/>
              <w:bottom w:val="single" w:sz="6" w:space="0" w:color="auto"/>
              <w:right w:val="single" w:sz="6" w:space="0" w:color="000000" w:themeColor="text1"/>
            </w:tcBorders>
          </w:tcPr>
          <w:p w14:paraId="4D2FB911" w14:textId="77777777" w:rsidR="004E3D60" w:rsidRPr="006B6723" w:rsidRDefault="004E3D60" w:rsidP="004E3D60">
            <w:pPr>
              <w:spacing w:before="60" w:after="60" w:line="240" w:lineRule="auto"/>
              <w:rPr>
                <w:rFonts w:eastAsia="Verdana" w:cs="Verdana"/>
                <w:sz w:val="20"/>
              </w:rPr>
            </w:pPr>
            <w:r w:rsidRPr="006B6723">
              <w:rPr>
                <w:rFonts w:eastAsia="Verdana" w:cs="Verdana"/>
                <w:sz w:val="20"/>
              </w:rPr>
              <w:t xml:space="preserve">The delivery of the $8.5 million package for Central Australia and $10 million package for the Great Barrier Reef is on track. </w:t>
            </w:r>
          </w:p>
          <w:p w14:paraId="3ADB9193" w14:textId="4C2D4CEA" w:rsidR="004E3D60" w:rsidRPr="006B6723" w:rsidRDefault="004E3D60" w:rsidP="004E3D60">
            <w:pPr>
              <w:spacing w:before="60" w:after="60" w:line="240" w:lineRule="auto"/>
              <w:rPr>
                <w:rFonts w:eastAsia="Verdana" w:cs="Verdana"/>
                <w:sz w:val="20"/>
              </w:rPr>
            </w:pPr>
            <w:r w:rsidRPr="006B6723">
              <w:rPr>
                <w:rFonts w:eastAsia="Verdana" w:cs="Verdana"/>
                <w:sz w:val="20"/>
              </w:rPr>
              <w:t xml:space="preserve">30 tourism operators in Alice Springs and surrounds have received a revival and resilience grant, and Tourism Central Australia has commenced domestic and international marketing activity. </w:t>
            </w:r>
          </w:p>
          <w:p w14:paraId="4DFA21FD" w14:textId="760C046E" w:rsidR="004E3D60" w:rsidRPr="006B6723" w:rsidRDefault="004E3D60" w:rsidP="004E3D60">
            <w:pPr>
              <w:spacing w:before="60" w:after="60" w:line="240" w:lineRule="auto"/>
              <w:rPr>
                <w:rFonts w:eastAsia="Verdana" w:cs="Verdana"/>
                <w:sz w:val="20"/>
              </w:rPr>
            </w:pPr>
            <w:r>
              <w:rPr>
                <w:sz w:val="20"/>
              </w:rPr>
              <w:t xml:space="preserve">In July 2026 it was announced that 17 tourism businesses were successful in receiving a grant under the </w:t>
            </w:r>
            <w:r w:rsidRPr="006B6723">
              <w:rPr>
                <w:sz w:val="20"/>
              </w:rPr>
              <w:t>$2.5 million Red Centre Tourism Development Fund</w:t>
            </w:r>
            <w:r>
              <w:rPr>
                <w:sz w:val="20"/>
              </w:rPr>
              <w:t xml:space="preserve">. </w:t>
            </w:r>
            <w:r w:rsidRPr="005665E3">
              <w:rPr>
                <w:sz w:val="20"/>
              </w:rPr>
              <w:t>The fund supports Red Centre tourism operators to invest in new tourism offerings and experiences that will encourage visitors to stay longer and explore more of the region.</w:t>
            </w:r>
          </w:p>
          <w:p w14:paraId="1BA0578E" w14:textId="77777777" w:rsidR="004E3D60" w:rsidRDefault="004E3D60" w:rsidP="004E3D60">
            <w:pPr>
              <w:spacing w:before="60" w:after="60" w:line="240" w:lineRule="auto"/>
              <w:rPr>
                <w:rFonts w:eastAsia="Verdana" w:cs="Verdana"/>
                <w:sz w:val="20"/>
              </w:rPr>
            </w:pPr>
            <w:r w:rsidRPr="006B6723">
              <w:rPr>
                <w:rFonts w:eastAsia="Verdana" w:cs="Verdana"/>
                <w:sz w:val="20"/>
              </w:rPr>
              <w:t>Under the Reef program, 14 operators have received funding to support accommodating school groups; the Association of Marine Park Tour Operators will receive funding for a train the trainer program and; Tourism Tropical North QLD has commenced international marketing activity. </w:t>
            </w:r>
          </w:p>
          <w:p w14:paraId="1CEF7E58" w14:textId="11F53086" w:rsidR="004E3D60" w:rsidRPr="003A6FBE" w:rsidRDefault="004E3D60" w:rsidP="004E3D60">
            <w:pPr>
              <w:spacing w:before="60" w:after="60" w:line="240" w:lineRule="auto"/>
              <w:rPr>
                <w:sz w:val="20"/>
              </w:rPr>
            </w:pPr>
          </w:p>
        </w:tc>
        <w:tc>
          <w:tcPr>
            <w:tcW w:w="68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A58F1D" w14:textId="67D1783C" w:rsidR="004E3D60" w:rsidRPr="001D3623" w:rsidRDefault="004E3D60" w:rsidP="004E3D60">
            <w:pPr>
              <w:spacing w:before="60" w:after="60" w:line="240" w:lineRule="auto"/>
              <w:rPr>
                <w:sz w:val="20"/>
              </w:rPr>
            </w:pPr>
            <w:r w:rsidRPr="001D3623">
              <w:rPr>
                <w:sz w:val="20"/>
              </w:rPr>
              <w:t>The $6 million Kids for the Reef program is anticipated to open in late July 2026</w:t>
            </w:r>
            <w:r>
              <w:rPr>
                <w:sz w:val="20"/>
              </w:rPr>
              <w:t>.</w:t>
            </w:r>
          </w:p>
          <w:p w14:paraId="16561586" w14:textId="2D07571C" w:rsidR="004E3D60" w:rsidRPr="006B6723" w:rsidRDefault="004E3D60" w:rsidP="004E3D60">
            <w:pPr>
              <w:spacing w:before="60" w:after="60" w:line="240" w:lineRule="auto"/>
              <w:rPr>
                <w:rFonts w:eastAsia="Verdana" w:cs="Verdana"/>
                <w:sz w:val="20"/>
              </w:rPr>
            </w:pPr>
          </w:p>
        </w:tc>
      </w:tr>
      <w:tr w:rsidR="004E3D60" w:rsidRPr="006B6723" w14:paraId="5475365B" w14:textId="69669C84" w:rsidTr="00AE3C42">
        <w:trPr>
          <w:cnfStyle w:val="000000100000" w:firstRow="0" w:lastRow="0" w:firstColumn="0" w:lastColumn="0" w:oddVBand="0" w:evenVBand="0" w:oddHBand="1" w:evenHBand="0" w:firstRowFirstColumn="0" w:firstRowLastColumn="0" w:lastRowFirstColumn="0" w:lastRowLastColumn="0"/>
          <w:trHeight w:val="552"/>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77E2F14F" w14:textId="2CDA97D3" w:rsidR="004E3D60" w:rsidRPr="006B6723" w:rsidRDefault="004E3D60" w:rsidP="004E3D60">
            <w:pPr>
              <w:spacing w:before="60" w:after="60" w:line="240" w:lineRule="auto"/>
              <w:jc w:val="center"/>
              <w:rPr>
                <w:rFonts w:eastAsia="Verdana" w:cs="Verdana"/>
                <w:color w:val="000000" w:themeColor="text1"/>
                <w:sz w:val="20"/>
              </w:rPr>
            </w:pPr>
            <w:r w:rsidRPr="006B6723">
              <w:rPr>
                <w:rFonts w:eastAsia="Verdana" w:cs="Verdana"/>
                <w:color w:val="000000" w:themeColor="text1"/>
                <w:sz w:val="20"/>
              </w:rPr>
              <w:t>2.2</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585055E4" w14:textId="182E671F" w:rsidR="004E3D60" w:rsidRPr="006B6723" w:rsidRDefault="004E3D60" w:rsidP="004E3D60">
            <w:pPr>
              <w:spacing w:before="60" w:after="60" w:line="240" w:lineRule="auto"/>
              <w:rPr>
                <w:rStyle w:val="normaltextrun"/>
                <w:rFonts w:eastAsia="Verdana" w:cs="Verdana"/>
                <w:sz w:val="20"/>
                <w:szCs w:val="20"/>
              </w:rPr>
            </w:pPr>
            <w:r w:rsidRPr="006B6723">
              <w:rPr>
                <w:sz w:val="20"/>
              </w:rPr>
              <w:t>Leveraging the power of events visitation and cultural tourism, through: the Revive Live and Festivals Australia programs; business events including those supported by Tourism Australia’s Business Events Bid Fund; and sporting events with the Green and Gold Decade in the lead up to the Brisbane 2032 Olympic and Paralympic Games, to improve awareness of the diverse opportunities Australia has to offer and encourage greater dispersal, including to regional destinations.</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1CFBDEC7" w14:textId="5C805C6D" w:rsidR="004E3D60" w:rsidRPr="006B6723" w:rsidRDefault="004E3D60" w:rsidP="004E3D60">
            <w:pPr>
              <w:spacing w:before="60" w:after="60" w:line="240" w:lineRule="auto"/>
              <w:rPr>
                <w:sz w:val="20"/>
              </w:rPr>
            </w:pPr>
            <w:r w:rsidRPr="006B6723">
              <w:rPr>
                <w:sz w:val="20"/>
              </w:rPr>
              <w:t xml:space="preserve">Department of Infrastructure, Transport, Regional Development, Communications, Sport and the Arts </w:t>
            </w:r>
            <w:r w:rsidRPr="006B6723">
              <w:rPr>
                <w:sz w:val="20"/>
              </w:rPr>
              <w:lastRenderedPageBreak/>
              <w:t xml:space="preserve">(DITRDCSA), </w:t>
            </w:r>
            <w:r w:rsidRPr="006B6723">
              <w:rPr>
                <w:i/>
                <w:iCs/>
                <w:sz w:val="20"/>
              </w:rPr>
              <w:t>(Tourism Australia)</w:t>
            </w:r>
          </w:p>
        </w:tc>
        <w:tc>
          <w:tcPr>
            <w:tcW w:w="5167" w:type="dxa"/>
            <w:tcBorders>
              <w:top w:val="single" w:sz="6" w:space="0" w:color="auto"/>
              <w:left w:val="single" w:sz="6" w:space="0" w:color="auto"/>
              <w:bottom w:val="single" w:sz="6" w:space="0" w:color="auto"/>
              <w:right w:val="single" w:sz="6" w:space="0" w:color="auto"/>
            </w:tcBorders>
          </w:tcPr>
          <w:p w14:paraId="4D62EB8D" w14:textId="318994B3" w:rsidR="004E3D60" w:rsidRPr="006B6723" w:rsidRDefault="004E3D60" w:rsidP="004E3D60">
            <w:pPr>
              <w:spacing w:before="60" w:after="60" w:line="240" w:lineRule="auto"/>
              <w:rPr>
                <w:rFonts w:eastAsia="Verdana" w:cs="Verdana"/>
                <w:sz w:val="20"/>
              </w:rPr>
            </w:pPr>
            <w:r w:rsidRPr="006B6723">
              <w:rPr>
                <w:rFonts w:eastAsia="Verdana" w:cs="Verdana"/>
                <w:sz w:val="20"/>
              </w:rPr>
              <w:lastRenderedPageBreak/>
              <w:t>The Australian Government has invested approximately $140 million in major sporting events to support event delivery and legacy programs between 2022-23 to 2029-30. In the last 12 months, the government has provided support for the hosting of:</w:t>
            </w:r>
          </w:p>
          <w:p w14:paraId="66F36227" w14:textId="77777777" w:rsidR="004E3D60" w:rsidRPr="006B6723" w:rsidRDefault="004E3D60" w:rsidP="004E3D60">
            <w:pPr>
              <w:numPr>
                <w:ilvl w:val="0"/>
                <w:numId w:val="12"/>
              </w:numPr>
              <w:spacing w:before="60" w:after="60" w:line="240" w:lineRule="auto"/>
              <w:rPr>
                <w:rFonts w:eastAsia="Verdana" w:cs="Verdana"/>
                <w:color w:val="000000" w:themeColor="text1"/>
                <w:sz w:val="20"/>
              </w:rPr>
            </w:pPr>
            <w:r w:rsidRPr="006B6723">
              <w:rPr>
                <w:rFonts w:eastAsia="Verdana" w:cs="Verdana"/>
                <w:color w:val="000000" w:themeColor="text1"/>
                <w:sz w:val="20"/>
              </w:rPr>
              <w:t>ICF Canoe Slalom Championships 2025</w:t>
            </w:r>
          </w:p>
          <w:p w14:paraId="22095B85" w14:textId="77777777" w:rsidR="004E3D60" w:rsidRPr="006B6723" w:rsidRDefault="004E3D60" w:rsidP="004E3D60">
            <w:pPr>
              <w:numPr>
                <w:ilvl w:val="0"/>
                <w:numId w:val="12"/>
              </w:numPr>
              <w:spacing w:before="60" w:after="60" w:line="240" w:lineRule="auto"/>
              <w:rPr>
                <w:rFonts w:eastAsia="Verdana" w:cs="Verdana"/>
                <w:color w:val="000000" w:themeColor="text1"/>
                <w:sz w:val="20"/>
              </w:rPr>
            </w:pPr>
            <w:r w:rsidRPr="006B6723">
              <w:rPr>
                <w:rFonts w:eastAsia="Verdana" w:cs="Verdana"/>
                <w:color w:val="000000" w:themeColor="text1"/>
                <w:sz w:val="20"/>
              </w:rPr>
              <w:t>Virtus World Athletic Championships 2025</w:t>
            </w:r>
          </w:p>
          <w:p w14:paraId="5C08BFA0" w14:textId="77777777" w:rsidR="004E3D60" w:rsidRPr="006B6723" w:rsidRDefault="004E3D60" w:rsidP="004E3D60">
            <w:pPr>
              <w:numPr>
                <w:ilvl w:val="0"/>
                <w:numId w:val="12"/>
              </w:numPr>
              <w:spacing w:before="60" w:after="60" w:line="240" w:lineRule="auto"/>
              <w:rPr>
                <w:rFonts w:eastAsia="Verdana" w:cs="Verdana"/>
                <w:color w:val="000000" w:themeColor="text1"/>
                <w:sz w:val="20"/>
              </w:rPr>
            </w:pPr>
            <w:r w:rsidRPr="006B6723">
              <w:rPr>
                <w:rFonts w:eastAsia="Verdana" w:cs="Verdana"/>
                <w:color w:val="000000" w:themeColor="text1"/>
                <w:sz w:val="20"/>
              </w:rPr>
              <w:t>Boccia World Challenger 2025</w:t>
            </w:r>
          </w:p>
          <w:p w14:paraId="56AC53CF" w14:textId="77777777" w:rsidR="004E3D60" w:rsidRPr="006B6723" w:rsidRDefault="004E3D60" w:rsidP="004E3D60">
            <w:pPr>
              <w:numPr>
                <w:ilvl w:val="0"/>
                <w:numId w:val="12"/>
              </w:numPr>
              <w:spacing w:before="60" w:after="60" w:line="240" w:lineRule="auto"/>
              <w:rPr>
                <w:rFonts w:eastAsia="Verdana" w:cs="Verdana"/>
                <w:color w:val="000000" w:themeColor="text1"/>
                <w:sz w:val="20"/>
              </w:rPr>
            </w:pPr>
            <w:r w:rsidRPr="006B6723">
              <w:rPr>
                <w:rFonts w:eastAsia="Verdana" w:cs="Verdana"/>
                <w:color w:val="000000" w:themeColor="text1"/>
                <w:sz w:val="20"/>
              </w:rPr>
              <w:lastRenderedPageBreak/>
              <w:t>AFC Women’s Asian Cup 2026</w:t>
            </w:r>
          </w:p>
          <w:p w14:paraId="47DEE05A" w14:textId="5BF17551" w:rsidR="004E3D60" w:rsidRPr="006B6723" w:rsidRDefault="004E3D60" w:rsidP="004E3D60">
            <w:pPr>
              <w:spacing w:before="60" w:after="60" w:line="240" w:lineRule="auto"/>
              <w:rPr>
                <w:rFonts w:eastAsia="Verdana" w:cs="Verdana"/>
                <w:color w:val="000000" w:themeColor="text1"/>
                <w:sz w:val="20"/>
              </w:rPr>
            </w:pPr>
            <w:r w:rsidRPr="006B6723">
              <w:rPr>
                <w:rFonts w:eastAsia="Verdana" w:cs="Verdana"/>
                <w:sz w:val="20"/>
              </w:rPr>
              <w:t>The Office for Sport is working across government to leverage the significant investment in the Brisbane 2032 Olympic and Paralympic Games to achieve outcomes for Australians.</w:t>
            </w:r>
          </w:p>
          <w:p w14:paraId="2CC557A7" w14:textId="411B81E2" w:rsidR="004E3D60" w:rsidRPr="006B6723" w:rsidRDefault="004E3D60" w:rsidP="004E3D60">
            <w:pPr>
              <w:spacing w:before="60" w:after="60" w:line="240" w:lineRule="auto"/>
              <w:rPr>
                <w:sz w:val="20"/>
              </w:rPr>
            </w:pPr>
            <w:r w:rsidRPr="006B6723">
              <w:rPr>
                <w:sz w:val="20"/>
              </w:rPr>
              <w:t>Tourism Australia is working closely with the Office for Sport to create and convert demand in the lead up to, during, and after the Olympic Games.</w:t>
            </w:r>
          </w:p>
          <w:p w14:paraId="7B17D063" w14:textId="77777777" w:rsidR="004E3D60" w:rsidRPr="006B6723" w:rsidRDefault="004E3D60" w:rsidP="004E3D60">
            <w:pPr>
              <w:spacing w:before="60" w:after="60" w:line="240" w:lineRule="auto"/>
              <w:rPr>
                <w:sz w:val="20"/>
              </w:rPr>
            </w:pPr>
            <w:r w:rsidRPr="006B6723">
              <w:rPr>
                <w:sz w:val="20"/>
              </w:rPr>
              <w:t>The Revive Live program has so far provided $18.9 million in grant funding to support 219 live music businesses, including 120 music festival-based activities and 99 live music venues. </w:t>
            </w:r>
          </w:p>
          <w:p w14:paraId="20721132" w14:textId="51B05422" w:rsidR="004E3D60" w:rsidRPr="006B6723" w:rsidRDefault="004E3D60" w:rsidP="004E3D60">
            <w:pPr>
              <w:spacing w:before="60" w:after="60" w:line="240" w:lineRule="auto"/>
              <w:rPr>
                <w:sz w:val="20"/>
              </w:rPr>
            </w:pPr>
            <w:r w:rsidRPr="006B6723">
              <w:rPr>
                <w:sz w:val="20"/>
              </w:rPr>
              <w:t>The Festivals Australia program continues to support individual art projects delivered at festivals or significant one-off community celebrations in regional and remote Australia. In 2025-26, the program provided $1.4 million to support 39 activities. </w:t>
            </w:r>
          </w:p>
        </w:tc>
        <w:tc>
          <w:tcPr>
            <w:tcW w:w="6837" w:type="dxa"/>
            <w:tcBorders>
              <w:top w:val="single" w:sz="6" w:space="0" w:color="000000" w:themeColor="text1"/>
              <w:left w:val="single" w:sz="6" w:space="0" w:color="auto"/>
              <w:bottom w:val="single" w:sz="6" w:space="0" w:color="auto"/>
              <w:right w:val="single" w:sz="6" w:space="0" w:color="auto"/>
            </w:tcBorders>
          </w:tcPr>
          <w:p w14:paraId="72B2D200" w14:textId="4A054CC1" w:rsidR="004E3D60" w:rsidRPr="006B6723" w:rsidRDefault="004E3D60" w:rsidP="004E3D60">
            <w:pPr>
              <w:spacing w:before="60" w:after="60" w:line="240" w:lineRule="auto"/>
              <w:rPr>
                <w:rFonts w:eastAsia="Verdana" w:cs="Verdana"/>
                <w:sz w:val="20"/>
              </w:rPr>
            </w:pPr>
            <w:r w:rsidRPr="006B6723">
              <w:rPr>
                <w:rFonts w:eastAsia="Verdana" w:cs="Verdana"/>
                <w:sz w:val="20"/>
              </w:rPr>
              <w:lastRenderedPageBreak/>
              <w:t>The Office for Sport will continue developing a whole-of-government strategy for leveraging investment in, and considering new opportunities arising from, the Brisbane 2032 Games. Tourism Australia will work closely with the Office for Sport in capitalising on the Olympic and Paralympic Games opportunity.</w:t>
            </w:r>
          </w:p>
          <w:p w14:paraId="25A4629B" w14:textId="7D1D938F" w:rsidR="004E3D60" w:rsidRPr="006B6723" w:rsidRDefault="004E3D60" w:rsidP="004E3D60">
            <w:pPr>
              <w:spacing w:before="60" w:after="60" w:line="240" w:lineRule="auto"/>
              <w:rPr>
                <w:rFonts w:eastAsia="Verdana" w:cs="Verdana"/>
                <w:sz w:val="20"/>
              </w:rPr>
            </w:pPr>
            <w:r w:rsidRPr="006B6723">
              <w:rPr>
                <w:rFonts w:eastAsia="Verdana" w:cs="Verdana"/>
                <w:sz w:val="20"/>
              </w:rPr>
              <w:t>Over the next 6 years, Australia will deliver a series of international major sporting events, culminating in the Brisbane 2032 Olympic and Paralympic Games.</w:t>
            </w:r>
          </w:p>
          <w:p w14:paraId="11AB3C4B" w14:textId="728C2E5B" w:rsidR="004E3D60" w:rsidRPr="006B6723" w:rsidRDefault="004E3D60" w:rsidP="004E3D60">
            <w:pPr>
              <w:spacing w:before="60" w:after="60" w:line="240" w:lineRule="auto"/>
              <w:rPr>
                <w:rFonts w:eastAsia="Verdana" w:cs="Verdana"/>
                <w:sz w:val="20"/>
              </w:rPr>
            </w:pPr>
            <w:r w:rsidRPr="006B6723">
              <w:rPr>
                <w:rFonts w:eastAsia="Verdana" w:cs="Verdana"/>
                <w:sz w:val="20"/>
              </w:rPr>
              <w:t>The Australian Government has committed support to 7 future major sporting events to be hosted in Australia:</w:t>
            </w:r>
          </w:p>
          <w:p w14:paraId="7134D047" w14:textId="77777777" w:rsidR="004E3D60" w:rsidRPr="006B6723" w:rsidRDefault="004E3D60" w:rsidP="004E3D60">
            <w:pPr>
              <w:numPr>
                <w:ilvl w:val="0"/>
                <w:numId w:val="12"/>
              </w:numPr>
              <w:spacing w:before="60" w:after="60" w:line="240" w:lineRule="auto"/>
              <w:rPr>
                <w:rFonts w:eastAsia="Verdana" w:cs="Verdana"/>
                <w:sz w:val="20"/>
              </w:rPr>
            </w:pPr>
            <w:r w:rsidRPr="006B6723">
              <w:rPr>
                <w:rFonts w:eastAsia="Verdana" w:cs="Verdana"/>
                <w:sz w:val="20"/>
              </w:rPr>
              <w:lastRenderedPageBreak/>
              <w:t>Rugby League World Cup 2026</w:t>
            </w:r>
          </w:p>
          <w:p w14:paraId="12271521" w14:textId="77777777" w:rsidR="004E3D60" w:rsidRPr="006B6723" w:rsidRDefault="004E3D60" w:rsidP="004E3D60">
            <w:pPr>
              <w:numPr>
                <w:ilvl w:val="0"/>
                <w:numId w:val="12"/>
              </w:numPr>
              <w:spacing w:before="60" w:after="60" w:line="240" w:lineRule="auto"/>
              <w:rPr>
                <w:rFonts w:eastAsia="Verdana" w:cs="Verdana"/>
                <w:sz w:val="20"/>
              </w:rPr>
            </w:pPr>
            <w:r w:rsidRPr="006B6723">
              <w:rPr>
                <w:rFonts w:eastAsia="Verdana" w:cs="Verdana"/>
                <w:sz w:val="20"/>
              </w:rPr>
              <w:t>Women’s Softball World Cup Finals 2027</w:t>
            </w:r>
          </w:p>
          <w:p w14:paraId="006244AC" w14:textId="77777777" w:rsidR="004E3D60" w:rsidRPr="006B6723" w:rsidRDefault="004E3D60" w:rsidP="004E3D60">
            <w:pPr>
              <w:numPr>
                <w:ilvl w:val="0"/>
                <w:numId w:val="12"/>
              </w:numPr>
              <w:spacing w:before="60" w:after="60" w:line="240" w:lineRule="auto"/>
              <w:rPr>
                <w:rFonts w:eastAsia="Verdana" w:cs="Verdana"/>
                <w:sz w:val="20"/>
              </w:rPr>
            </w:pPr>
            <w:r w:rsidRPr="006B6723">
              <w:rPr>
                <w:rFonts w:eastAsia="Verdana" w:cs="Verdana"/>
                <w:sz w:val="20"/>
              </w:rPr>
              <w:t>Netball World Cup 2027</w:t>
            </w:r>
          </w:p>
          <w:p w14:paraId="54F11801" w14:textId="77777777" w:rsidR="004E3D60" w:rsidRPr="006B6723" w:rsidRDefault="004E3D60" w:rsidP="004E3D60">
            <w:pPr>
              <w:numPr>
                <w:ilvl w:val="0"/>
                <w:numId w:val="12"/>
              </w:numPr>
              <w:spacing w:before="60" w:after="60" w:line="240" w:lineRule="auto"/>
              <w:rPr>
                <w:rFonts w:eastAsia="Verdana" w:cs="Verdana"/>
                <w:sz w:val="20"/>
              </w:rPr>
            </w:pPr>
            <w:r w:rsidRPr="006B6723">
              <w:rPr>
                <w:rFonts w:eastAsia="Verdana" w:cs="Verdana"/>
                <w:sz w:val="20"/>
              </w:rPr>
              <w:t>Men’s Rugby World Cup 2027</w:t>
            </w:r>
          </w:p>
          <w:p w14:paraId="4032CDEF" w14:textId="77777777" w:rsidR="004E3D60" w:rsidRPr="006B6723" w:rsidRDefault="004E3D60" w:rsidP="004E3D60">
            <w:pPr>
              <w:numPr>
                <w:ilvl w:val="0"/>
                <w:numId w:val="12"/>
              </w:numPr>
              <w:spacing w:before="60" w:after="60" w:line="240" w:lineRule="auto"/>
              <w:rPr>
                <w:rFonts w:eastAsia="Verdana" w:cs="Verdana"/>
                <w:sz w:val="20"/>
              </w:rPr>
            </w:pPr>
            <w:r w:rsidRPr="006B6723">
              <w:rPr>
                <w:rFonts w:eastAsia="Verdana" w:cs="Verdana"/>
                <w:sz w:val="20"/>
              </w:rPr>
              <w:t>Women’s Rugby World Cup 2029</w:t>
            </w:r>
          </w:p>
          <w:p w14:paraId="78131D71" w14:textId="77777777" w:rsidR="004E3D60" w:rsidRPr="006B6723" w:rsidRDefault="004E3D60" w:rsidP="004E3D60">
            <w:pPr>
              <w:numPr>
                <w:ilvl w:val="0"/>
                <w:numId w:val="12"/>
              </w:numPr>
              <w:spacing w:before="60" w:after="60" w:line="240" w:lineRule="auto"/>
              <w:rPr>
                <w:rFonts w:eastAsia="Verdana" w:cs="Verdana"/>
                <w:sz w:val="20"/>
              </w:rPr>
            </w:pPr>
            <w:r w:rsidRPr="006B6723">
              <w:rPr>
                <w:rFonts w:eastAsia="Verdana" w:cs="Verdana"/>
                <w:sz w:val="20"/>
              </w:rPr>
              <w:t>World Masters Games 2029</w:t>
            </w:r>
          </w:p>
          <w:p w14:paraId="105D6D2B" w14:textId="77777777" w:rsidR="004E3D60" w:rsidRPr="006B6723" w:rsidRDefault="004E3D60" w:rsidP="004E3D60">
            <w:pPr>
              <w:numPr>
                <w:ilvl w:val="0"/>
                <w:numId w:val="12"/>
              </w:numPr>
              <w:spacing w:before="60" w:after="60" w:line="240" w:lineRule="auto"/>
              <w:rPr>
                <w:rFonts w:eastAsia="Verdana" w:cs="Verdana"/>
                <w:sz w:val="20"/>
              </w:rPr>
            </w:pPr>
            <w:r w:rsidRPr="006B6723">
              <w:rPr>
                <w:rFonts w:eastAsia="Verdana" w:cs="Verdana"/>
                <w:sz w:val="20"/>
              </w:rPr>
              <w:t>Brisbane 2032 Olympic and Paralympic Games</w:t>
            </w:r>
          </w:p>
          <w:p w14:paraId="1BD72C83" w14:textId="3E27D41A" w:rsidR="004E3D60" w:rsidRPr="006B6723" w:rsidRDefault="004E3D60" w:rsidP="004E3D60">
            <w:pPr>
              <w:spacing w:before="60" w:after="60" w:line="240" w:lineRule="auto"/>
              <w:rPr>
                <w:rFonts w:eastAsia="Verdana" w:cs="Verdana"/>
                <w:sz w:val="20"/>
              </w:rPr>
            </w:pPr>
            <w:r w:rsidRPr="006B6723">
              <w:rPr>
                <w:rFonts w:eastAsia="Verdana" w:cs="Verdana"/>
                <w:sz w:val="20"/>
              </w:rPr>
              <w:t>The Men's T20 Cricket World Cup is being hosted in 2028.</w:t>
            </w:r>
          </w:p>
          <w:p w14:paraId="530A7D49" w14:textId="4F29D581" w:rsidR="004E3D60" w:rsidRPr="006B6723" w:rsidRDefault="004E3D60" w:rsidP="004E3D60">
            <w:pPr>
              <w:spacing w:before="60" w:after="60" w:line="240" w:lineRule="auto"/>
              <w:rPr>
                <w:rFonts w:eastAsia="Verdana" w:cs="Verdana"/>
                <w:sz w:val="20"/>
              </w:rPr>
            </w:pPr>
          </w:p>
        </w:tc>
      </w:tr>
      <w:tr w:rsidR="004E3D60" w:rsidRPr="006B6723" w14:paraId="17769A51" w14:textId="6D7F5564" w:rsidTr="00AE3C42">
        <w:trPr>
          <w:trHeight w:val="532"/>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16DF8C9F" w14:textId="11BC2AD9" w:rsidR="004E3D60" w:rsidRPr="006B6723" w:rsidRDefault="004E3D60" w:rsidP="004E3D60">
            <w:pPr>
              <w:spacing w:before="60" w:after="60" w:line="240" w:lineRule="auto"/>
              <w:jc w:val="center"/>
              <w:rPr>
                <w:rFonts w:eastAsia="Verdana" w:cs="Verdana"/>
                <w:color w:val="000000" w:themeColor="text1"/>
                <w:sz w:val="20"/>
              </w:rPr>
            </w:pPr>
            <w:r w:rsidRPr="006B6723">
              <w:rPr>
                <w:rStyle w:val="normaltextrun"/>
                <w:rFonts w:eastAsia="Verdana" w:cs="Verdana"/>
                <w:sz w:val="20"/>
                <w:szCs w:val="20"/>
              </w:rPr>
              <w:lastRenderedPageBreak/>
              <w:t>2.3</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19226CFB" w14:textId="42CDA962" w:rsidR="004E3D60" w:rsidRPr="006B6723" w:rsidRDefault="004E3D60" w:rsidP="004E3D60">
            <w:pPr>
              <w:spacing w:before="60" w:after="60" w:line="240" w:lineRule="auto"/>
              <w:rPr>
                <w:sz w:val="20"/>
              </w:rPr>
            </w:pPr>
            <w:r w:rsidRPr="006B6723">
              <w:rPr>
                <w:sz w:val="20"/>
              </w:rPr>
              <w:t>Preparing an analysis of factors underpinning greater domestic and international visitation to regional destinations</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58BB9C05" w14:textId="2ADF5380" w:rsidR="004E3D60" w:rsidRPr="006B6723" w:rsidRDefault="004E3D60" w:rsidP="004E3D60">
            <w:pPr>
              <w:spacing w:before="60" w:after="60" w:line="240" w:lineRule="auto"/>
              <w:rPr>
                <w:sz w:val="20"/>
              </w:rPr>
            </w:pPr>
            <w:r w:rsidRPr="006B6723">
              <w:rPr>
                <w:sz w:val="20"/>
              </w:rPr>
              <w:t>Austrade, Tourism Australia</w:t>
            </w:r>
          </w:p>
        </w:tc>
        <w:tc>
          <w:tcPr>
            <w:tcW w:w="5167" w:type="dxa"/>
            <w:tcBorders>
              <w:top w:val="single" w:sz="6" w:space="0" w:color="auto"/>
              <w:left w:val="single" w:sz="6" w:space="0" w:color="auto"/>
              <w:bottom w:val="single" w:sz="6" w:space="0" w:color="auto"/>
              <w:right w:val="single" w:sz="6" w:space="0" w:color="auto"/>
            </w:tcBorders>
          </w:tcPr>
          <w:p w14:paraId="05688E28" w14:textId="207B01CA" w:rsidR="004E3D60" w:rsidRPr="006B6723" w:rsidRDefault="004E3D60" w:rsidP="004E3D60">
            <w:pPr>
              <w:spacing w:before="60" w:after="60" w:line="240" w:lineRule="auto"/>
              <w:rPr>
                <w:sz w:val="20"/>
              </w:rPr>
            </w:pPr>
            <w:r w:rsidRPr="006B6723">
              <w:rPr>
                <w:sz w:val="20"/>
              </w:rPr>
              <w:t>Tourism Australia’s Consumer Demand Project continues to examine and report on factors that influence international travellers to visit regional destinations.</w:t>
            </w:r>
          </w:p>
        </w:tc>
        <w:tc>
          <w:tcPr>
            <w:tcW w:w="6837" w:type="dxa"/>
            <w:tcBorders>
              <w:top w:val="single" w:sz="6" w:space="0" w:color="auto"/>
              <w:left w:val="single" w:sz="6" w:space="0" w:color="auto"/>
              <w:bottom w:val="single" w:sz="6" w:space="0" w:color="auto"/>
              <w:right w:val="single" w:sz="6" w:space="0" w:color="auto"/>
            </w:tcBorders>
          </w:tcPr>
          <w:p w14:paraId="17223C79" w14:textId="3D0032F5" w:rsidR="004E3D60" w:rsidRPr="006B6723" w:rsidRDefault="004E3D60" w:rsidP="004E3D60">
            <w:pPr>
              <w:spacing w:before="60" w:after="60" w:line="240" w:lineRule="auto"/>
              <w:rPr>
                <w:rFonts w:eastAsia="Verdana" w:cs="Verdana"/>
                <w:color w:val="000000" w:themeColor="text1"/>
                <w:sz w:val="20"/>
              </w:rPr>
            </w:pPr>
            <w:r w:rsidRPr="006B6723">
              <w:rPr>
                <w:sz w:val="20"/>
              </w:rPr>
              <w:t xml:space="preserve">Austrade’s Office of Tourism and the Visitor Economy will continue to progress its analysis of factors underpinning regional visitor dispersal in the second half of 2026, </w:t>
            </w:r>
            <w:r>
              <w:rPr>
                <w:sz w:val="20"/>
              </w:rPr>
              <w:t>including consulting with</w:t>
            </w:r>
            <w:r w:rsidRPr="006B6723">
              <w:rPr>
                <w:sz w:val="20"/>
              </w:rPr>
              <w:t xml:space="preserve"> </w:t>
            </w:r>
            <w:r>
              <w:rPr>
                <w:rFonts w:eastAsia="Verdana" w:cs="Verdana"/>
                <w:color w:val="000000" w:themeColor="text1"/>
                <w:sz w:val="20"/>
              </w:rPr>
              <w:t xml:space="preserve">Tourism Australia, Regional Development Authorities, Regional Tourism Organisations and industry in </w:t>
            </w:r>
            <w:r>
              <w:rPr>
                <w:sz w:val="20"/>
              </w:rPr>
              <w:t>Q3 and Q4 CY 2026</w:t>
            </w:r>
            <w:r>
              <w:rPr>
                <w:rFonts w:eastAsia="Verdana" w:cs="Verdana"/>
                <w:color w:val="000000" w:themeColor="text1"/>
                <w:sz w:val="20"/>
              </w:rPr>
              <w:t xml:space="preserve">. </w:t>
            </w:r>
          </w:p>
        </w:tc>
      </w:tr>
      <w:tr w:rsidR="004E3D60" w:rsidRPr="006B6723" w14:paraId="68870CE6" w14:textId="0BD842E3" w:rsidTr="00AE3C42">
        <w:trPr>
          <w:cnfStyle w:val="000000100000" w:firstRow="0" w:lastRow="0" w:firstColumn="0" w:lastColumn="0" w:oddVBand="0" w:evenVBand="0" w:oddHBand="1" w:evenHBand="0" w:firstRowFirstColumn="0" w:firstRowLastColumn="0" w:lastRowFirstColumn="0" w:lastRowLastColumn="0"/>
          <w:trHeight w:val="920"/>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099DF91E" w14:textId="7AC47F1A" w:rsidR="004E3D60" w:rsidRPr="006B6723" w:rsidRDefault="004E3D60" w:rsidP="004E3D60">
            <w:pPr>
              <w:spacing w:before="60" w:after="60" w:line="240" w:lineRule="auto"/>
              <w:jc w:val="center"/>
              <w:rPr>
                <w:rFonts w:eastAsia="Verdana" w:cs="Verdana"/>
                <w:color w:val="000000" w:themeColor="text1"/>
                <w:sz w:val="20"/>
              </w:rPr>
            </w:pPr>
            <w:r w:rsidRPr="006B6723">
              <w:rPr>
                <w:rStyle w:val="normaltextrun"/>
                <w:rFonts w:eastAsia="Verdana" w:cs="Verdana"/>
                <w:sz w:val="20"/>
                <w:szCs w:val="20"/>
              </w:rPr>
              <w:t>2.4</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0C6AA8E0" w14:textId="7D5E274C" w:rsidR="004E3D60" w:rsidRPr="006B6723" w:rsidRDefault="004E3D60" w:rsidP="004E3D60">
            <w:pPr>
              <w:spacing w:before="60" w:after="60" w:line="240" w:lineRule="auto"/>
              <w:rPr>
                <w:sz w:val="20"/>
              </w:rPr>
            </w:pPr>
            <w:r w:rsidRPr="006B6723">
              <w:rPr>
                <w:sz w:val="20"/>
              </w:rPr>
              <w:t>Supporting the development of the agritourism sector, in partnership with industry, including by creating a strategic marketing development plan to drive international visitation, and through national guidelines for measuring and evaluating agritourism.</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72DD5CF5" w14:textId="3A29E02D" w:rsidR="004E3D60" w:rsidRPr="006B6723" w:rsidRDefault="004E3D60" w:rsidP="004E3D60">
            <w:pPr>
              <w:spacing w:before="60" w:after="60" w:line="240" w:lineRule="auto"/>
              <w:rPr>
                <w:sz w:val="20"/>
              </w:rPr>
            </w:pPr>
            <w:r w:rsidRPr="006B6723">
              <w:rPr>
                <w:sz w:val="20"/>
              </w:rPr>
              <w:t xml:space="preserve">Austrade, Tourism Australia, </w:t>
            </w:r>
            <w:r w:rsidRPr="006B6723">
              <w:rPr>
                <w:i/>
                <w:iCs/>
                <w:sz w:val="20"/>
              </w:rPr>
              <w:t>(DAFF)</w:t>
            </w:r>
          </w:p>
        </w:tc>
        <w:tc>
          <w:tcPr>
            <w:tcW w:w="5167" w:type="dxa"/>
            <w:tcBorders>
              <w:top w:val="single" w:sz="6" w:space="0" w:color="auto"/>
              <w:left w:val="single" w:sz="6" w:space="0" w:color="auto"/>
              <w:bottom w:val="single" w:sz="6" w:space="0" w:color="auto"/>
              <w:right w:val="single" w:sz="6" w:space="0" w:color="auto"/>
            </w:tcBorders>
          </w:tcPr>
          <w:p w14:paraId="3853595D" w14:textId="77777777" w:rsidR="004E3D60" w:rsidRPr="006B6723" w:rsidRDefault="004E3D60" w:rsidP="004E3D60">
            <w:pPr>
              <w:spacing w:before="60" w:after="60" w:line="240" w:lineRule="auto"/>
              <w:rPr>
                <w:rFonts w:eastAsia="Verdana" w:cs="Verdana"/>
                <w:color w:val="000000" w:themeColor="text1"/>
                <w:sz w:val="20"/>
              </w:rPr>
            </w:pPr>
            <w:r w:rsidRPr="006B6723">
              <w:rPr>
                <w:rFonts w:eastAsia="Verdana" w:cs="Verdana"/>
                <w:color w:val="000000" w:themeColor="text1"/>
                <w:sz w:val="20"/>
              </w:rPr>
              <w:t>Tourism Australia has identified agritourism as a priority sector for international marketing efforts. Tourism Australia’s approach to agritourism focuses on four strategic priorities:</w:t>
            </w:r>
          </w:p>
          <w:p w14:paraId="24B8BD9C" w14:textId="6DD3F3AF" w:rsidR="004E3D60" w:rsidRPr="006B6723" w:rsidRDefault="004E3D60" w:rsidP="004E3D60">
            <w:pPr>
              <w:pStyle w:val="ListParagraph"/>
              <w:numPr>
                <w:ilvl w:val="0"/>
                <w:numId w:val="19"/>
              </w:numPr>
              <w:spacing w:before="60" w:after="60" w:line="240" w:lineRule="auto"/>
              <w:rPr>
                <w:rFonts w:eastAsia="Verdana" w:cs="Verdana"/>
                <w:color w:val="000000" w:themeColor="text1"/>
                <w:sz w:val="20"/>
              </w:rPr>
            </w:pPr>
            <w:r w:rsidRPr="006B6723">
              <w:rPr>
                <w:rFonts w:eastAsia="Verdana" w:cs="Verdana"/>
                <w:color w:val="000000" w:themeColor="text1"/>
                <w:sz w:val="20"/>
              </w:rPr>
              <w:t>Elevate the regions through identification of 33 “food bowl” destinations around Australia that have a strong concentration of both product and international visitor interest.</w:t>
            </w:r>
          </w:p>
          <w:p w14:paraId="2963AC97" w14:textId="7FB2AB65" w:rsidR="004E3D60" w:rsidRPr="006B6723" w:rsidRDefault="004E3D60" w:rsidP="004E3D60">
            <w:pPr>
              <w:pStyle w:val="ListParagraph"/>
              <w:numPr>
                <w:ilvl w:val="0"/>
                <w:numId w:val="19"/>
              </w:numPr>
              <w:spacing w:before="60" w:after="60" w:line="240" w:lineRule="auto"/>
              <w:rPr>
                <w:rFonts w:eastAsia="Verdana" w:cs="Verdana"/>
                <w:color w:val="000000" w:themeColor="text1"/>
                <w:sz w:val="20"/>
              </w:rPr>
            </w:pPr>
            <w:r w:rsidRPr="006B6723">
              <w:rPr>
                <w:rFonts w:eastAsia="Verdana" w:cs="Verdana"/>
                <w:color w:val="000000" w:themeColor="text1"/>
                <w:sz w:val="20"/>
              </w:rPr>
              <w:t xml:space="preserve">Grow demand through marketing activity and motivating travellers to “go where it grows” through campaigns like </w:t>
            </w:r>
            <w:r w:rsidRPr="006B6723">
              <w:rPr>
                <w:rFonts w:eastAsia="Verdana" w:cs="Verdana"/>
                <w:i/>
                <w:iCs/>
                <w:color w:val="000000" w:themeColor="text1"/>
                <w:sz w:val="20"/>
              </w:rPr>
              <w:t>Served at the Source</w:t>
            </w:r>
            <w:r w:rsidRPr="006B6723">
              <w:rPr>
                <w:rFonts w:eastAsia="Verdana" w:cs="Verdana"/>
                <w:color w:val="000000" w:themeColor="text1"/>
                <w:sz w:val="20"/>
              </w:rPr>
              <w:t xml:space="preserve"> and leveraging social media storytellers.</w:t>
            </w:r>
          </w:p>
          <w:p w14:paraId="4CD8055D" w14:textId="1B0986D9" w:rsidR="004E3D60" w:rsidRPr="006B6723" w:rsidRDefault="004E3D60" w:rsidP="004E3D60">
            <w:pPr>
              <w:pStyle w:val="ListParagraph"/>
              <w:numPr>
                <w:ilvl w:val="0"/>
                <w:numId w:val="19"/>
              </w:numPr>
              <w:spacing w:before="60" w:after="60" w:line="240" w:lineRule="auto"/>
              <w:rPr>
                <w:rFonts w:eastAsia="Verdana" w:cs="Verdana"/>
                <w:color w:val="000000" w:themeColor="text1"/>
                <w:sz w:val="20"/>
              </w:rPr>
            </w:pPr>
            <w:r w:rsidRPr="006B6723">
              <w:rPr>
                <w:rFonts w:eastAsia="Verdana" w:cs="Verdana"/>
                <w:color w:val="000000" w:themeColor="text1"/>
                <w:sz w:val="20"/>
              </w:rPr>
              <w:t>Convert demand through trade engagement, developing a prospectus of bookable agritourism experiences, and providing dedicated training for travel agents.</w:t>
            </w:r>
          </w:p>
          <w:p w14:paraId="11AF3B40" w14:textId="1398BB63" w:rsidR="004E3D60" w:rsidRPr="006B6723" w:rsidRDefault="004E3D60" w:rsidP="004E3D60">
            <w:pPr>
              <w:pStyle w:val="ListParagraph"/>
              <w:numPr>
                <w:ilvl w:val="0"/>
                <w:numId w:val="19"/>
              </w:numPr>
              <w:spacing w:before="60" w:after="60" w:line="240" w:lineRule="auto"/>
              <w:rPr>
                <w:rFonts w:eastAsia="Verdana" w:cs="Verdana"/>
                <w:color w:val="000000" w:themeColor="text1"/>
                <w:sz w:val="20"/>
              </w:rPr>
            </w:pPr>
            <w:r w:rsidRPr="006B6723">
              <w:rPr>
                <w:rFonts w:eastAsia="Verdana" w:cs="Verdana"/>
                <w:color w:val="000000" w:themeColor="text1"/>
                <w:sz w:val="20"/>
              </w:rPr>
              <w:t xml:space="preserve">Support the industry with relevant insights such as the </w:t>
            </w:r>
            <w:hyperlink r:id="rId12" w:history="1">
              <w:r w:rsidRPr="00521F28">
                <w:rPr>
                  <w:rStyle w:val="Hyperlink"/>
                  <w:rFonts w:eastAsia="Verdana" w:cs="Verdana"/>
                  <w:sz w:val="20"/>
                </w:rPr>
                <w:t xml:space="preserve">Agritourism in </w:t>
              </w:r>
              <w:r w:rsidRPr="00521F28">
                <w:rPr>
                  <w:rStyle w:val="Hyperlink"/>
                  <w:rFonts w:eastAsia="Verdana" w:cs="Verdana"/>
                  <w:sz w:val="20"/>
                </w:rPr>
                <w:lastRenderedPageBreak/>
                <w:t>Australia Report 2025</w:t>
              </w:r>
            </w:hyperlink>
            <w:r w:rsidRPr="006B6723">
              <w:rPr>
                <w:rFonts w:eastAsia="Verdana" w:cs="Verdana"/>
                <w:color w:val="000000" w:themeColor="text1"/>
                <w:sz w:val="20"/>
              </w:rPr>
              <w:t>, to help operators make informed decisions.</w:t>
            </w:r>
          </w:p>
          <w:p w14:paraId="1D1BC49C" w14:textId="50769B8B" w:rsidR="004E3D60" w:rsidRPr="006B6723" w:rsidRDefault="004E3D60" w:rsidP="004E3D60">
            <w:pPr>
              <w:spacing w:before="60" w:after="60" w:line="240" w:lineRule="auto"/>
              <w:rPr>
                <w:rFonts w:eastAsia="Verdana" w:cs="Verdana"/>
                <w:color w:val="000000" w:themeColor="text1"/>
                <w:sz w:val="20"/>
              </w:rPr>
            </w:pPr>
            <w:r w:rsidRPr="006B6723">
              <w:rPr>
                <w:rFonts w:eastAsia="Verdana" w:cs="Verdana"/>
                <w:color w:val="000000" w:themeColor="text1"/>
                <w:sz w:val="20"/>
              </w:rPr>
              <w:t xml:space="preserve">Tourism Research Australia (TRA) has developed </w:t>
            </w:r>
            <w:hyperlink r:id="rId13" w:anchor="ref5" w:history="1">
              <w:r w:rsidRPr="00E453E5">
                <w:rPr>
                  <w:rStyle w:val="Hyperlink"/>
                  <w:rFonts w:eastAsia="Verdana" w:cs="Verdana"/>
                  <w:sz w:val="20"/>
                </w:rPr>
                <w:t>national guidelines for measuring agritourism</w:t>
              </w:r>
            </w:hyperlink>
            <w:r w:rsidRPr="006B6723">
              <w:rPr>
                <w:rFonts w:eastAsia="Verdana" w:cs="Verdana"/>
                <w:color w:val="000000" w:themeColor="text1"/>
                <w:sz w:val="20"/>
              </w:rPr>
              <w:t>, in consultation with Tourism Australia and states and territories. Tourism Research Australia has published several agritourism insight reports in the past 12 months drawing on both domestic and international tourism statistics.</w:t>
            </w:r>
          </w:p>
        </w:tc>
        <w:tc>
          <w:tcPr>
            <w:tcW w:w="6837" w:type="dxa"/>
            <w:tcBorders>
              <w:top w:val="single" w:sz="6" w:space="0" w:color="auto"/>
              <w:left w:val="single" w:sz="6" w:space="0" w:color="auto"/>
              <w:bottom w:val="single" w:sz="6" w:space="0" w:color="auto"/>
              <w:right w:val="single" w:sz="6" w:space="0" w:color="auto"/>
            </w:tcBorders>
          </w:tcPr>
          <w:p w14:paraId="4D524753" w14:textId="73EEDCB3" w:rsidR="004E3D60" w:rsidRPr="006B6723" w:rsidRDefault="004E3D60" w:rsidP="004E3D60">
            <w:pPr>
              <w:spacing w:before="60" w:after="60" w:line="240" w:lineRule="auto"/>
              <w:rPr>
                <w:rFonts w:eastAsia="Verdana" w:cs="Verdana"/>
                <w:color w:val="000000" w:themeColor="text1"/>
                <w:sz w:val="20"/>
              </w:rPr>
            </w:pPr>
            <w:r w:rsidRPr="006B6723">
              <w:rPr>
                <w:rFonts w:eastAsia="Verdana" w:cs="Verdana"/>
                <w:color w:val="000000" w:themeColor="text1"/>
                <w:sz w:val="20"/>
              </w:rPr>
              <w:lastRenderedPageBreak/>
              <w:t>Tourism Australia’s work in the agritourism space is an ongoing area of activity</w:t>
            </w:r>
            <w:r>
              <w:rPr>
                <w:rFonts w:eastAsia="Verdana" w:cs="Verdana"/>
                <w:color w:val="000000" w:themeColor="text1"/>
                <w:sz w:val="20"/>
              </w:rPr>
              <w:t>, with analysis of the 33 “food bowl” destinations occurring in the second half of 2026</w:t>
            </w:r>
            <w:r w:rsidRPr="006B6723">
              <w:rPr>
                <w:rFonts w:eastAsia="Verdana" w:cs="Verdana"/>
                <w:color w:val="000000" w:themeColor="text1"/>
                <w:sz w:val="20"/>
              </w:rPr>
              <w:t>.</w:t>
            </w:r>
          </w:p>
        </w:tc>
      </w:tr>
      <w:tr w:rsidR="004E3D60" w:rsidRPr="006B6723" w14:paraId="4CA38366" w14:textId="1E7FC348" w:rsidTr="00AE3C42">
        <w:trPr>
          <w:trHeight w:val="920"/>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1EE8144A" w14:textId="5F4CF218" w:rsidR="004E3D60" w:rsidRPr="006B6723" w:rsidRDefault="004E3D60" w:rsidP="004E3D60">
            <w:pPr>
              <w:spacing w:before="60" w:after="60" w:line="240" w:lineRule="auto"/>
              <w:jc w:val="center"/>
              <w:rPr>
                <w:rFonts w:eastAsia="Verdana" w:cs="Verdana"/>
                <w:color w:val="000000" w:themeColor="text1"/>
                <w:sz w:val="20"/>
              </w:rPr>
            </w:pPr>
            <w:r w:rsidRPr="006B6723">
              <w:rPr>
                <w:rStyle w:val="normaltextrun"/>
                <w:rFonts w:eastAsia="Verdana" w:cs="Verdana"/>
                <w:sz w:val="20"/>
                <w:szCs w:val="20"/>
              </w:rPr>
              <w:t>2.5</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698BEB5B" w14:textId="7E7219BF" w:rsidR="004E3D60" w:rsidRPr="006B6723" w:rsidRDefault="004E3D60" w:rsidP="004E3D60">
            <w:pPr>
              <w:spacing w:before="60" w:after="60" w:line="240" w:lineRule="auto"/>
              <w:rPr>
                <w:sz w:val="20"/>
              </w:rPr>
            </w:pPr>
            <w:r w:rsidRPr="006B6723">
              <w:rPr>
                <w:sz w:val="20"/>
              </w:rPr>
              <w:t>Delivering a competitive and efficient aviation sector through Aviation White Paper initiatives, such as:</w:t>
            </w:r>
          </w:p>
          <w:p w14:paraId="37D0DF0C" w14:textId="11C97612" w:rsidR="004E3D60" w:rsidRPr="006B6723" w:rsidRDefault="004E3D60" w:rsidP="004E3D60">
            <w:pPr>
              <w:pStyle w:val="ListParagraph"/>
              <w:numPr>
                <w:ilvl w:val="0"/>
                <w:numId w:val="7"/>
              </w:numPr>
              <w:spacing w:before="60" w:after="60" w:line="240" w:lineRule="auto"/>
              <w:contextualSpacing w:val="0"/>
              <w:rPr>
                <w:sz w:val="20"/>
              </w:rPr>
            </w:pPr>
            <w:r w:rsidRPr="006B6723">
              <w:rPr>
                <w:sz w:val="20"/>
              </w:rPr>
              <w:t>establishing an aviation consumer protection framework with an aviation consumer ombudsperson</w:t>
            </w:r>
          </w:p>
          <w:p w14:paraId="630992CB" w14:textId="78F4FE04" w:rsidR="004E3D60" w:rsidRPr="006B6723" w:rsidRDefault="004E3D60" w:rsidP="004E3D60">
            <w:pPr>
              <w:pStyle w:val="ListParagraph"/>
              <w:numPr>
                <w:ilvl w:val="0"/>
                <w:numId w:val="7"/>
              </w:numPr>
              <w:spacing w:before="60" w:after="60" w:line="240" w:lineRule="auto"/>
              <w:contextualSpacing w:val="0"/>
              <w:rPr>
                <w:sz w:val="20"/>
              </w:rPr>
            </w:pPr>
            <w:r w:rsidRPr="006B6723">
              <w:rPr>
                <w:sz w:val="20"/>
              </w:rPr>
              <w:t>developing aviation specific disability standards</w:t>
            </w:r>
          </w:p>
          <w:p w14:paraId="33B96753" w14:textId="77777777" w:rsidR="004E3D60" w:rsidRPr="006B6723" w:rsidRDefault="004E3D60" w:rsidP="004E3D60">
            <w:pPr>
              <w:pStyle w:val="ListParagraph"/>
              <w:numPr>
                <w:ilvl w:val="0"/>
                <w:numId w:val="7"/>
              </w:numPr>
              <w:spacing w:before="60" w:after="60" w:line="240" w:lineRule="auto"/>
              <w:contextualSpacing w:val="0"/>
              <w:rPr>
                <w:sz w:val="20"/>
              </w:rPr>
            </w:pPr>
            <w:r w:rsidRPr="006B6723">
              <w:rPr>
                <w:sz w:val="20"/>
              </w:rPr>
              <w:t>continuing to support regional and remote aviation through the Regional Airports and Remote Airstrip Upgrade Programs</w:t>
            </w:r>
          </w:p>
          <w:p w14:paraId="485F29C8" w14:textId="6ABDA002" w:rsidR="004E3D60" w:rsidRPr="006B6723" w:rsidRDefault="004E3D60" w:rsidP="004E3D60">
            <w:pPr>
              <w:pStyle w:val="ListParagraph"/>
              <w:numPr>
                <w:ilvl w:val="0"/>
                <w:numId w:val="7"/>
              </w:numPr>
              <w:spacing w:before="60" w:after="60" w:line="240" w:lineRule="auto"/>
              <w:contextualSpacing w:val="0"/>
              <w:rPr>
                <w:sz w:val="20"/>
              </w:rPr>
            </w:pPr>
            <w:r w:rsidRPr="006B6723">
              <w:rPr>
                <w:sz w:val="20"/>
              </w:rPr>
              <w:t>pursuing capacity ahead of demand in bilateral air services agreements.</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05D2C1C4" w14:textId="39DF6BF2" w:rsidR="004E3D60" w:rsidRPr="006B6723" w:rsidRDefault="004E3D60" w:rsidP="004E3D60">
            <w:pPr>
              <w:spacing w:before="60" w:after="60" w:line="240" w:lineRule="auto"/>
              <w:rPr>
                <w:sz w:val="20"/>
              </w:rPr>
            </w:pPr>
            <w:r w:rsidRPr="006B6723">
              <w:rPr>
                <w:sz w:val="20"/>
              </w:rPr>
              <w:t>DITRDCSA</w:t>
            </w:r>
          </w:p>
        </w:tc>
        <w:tc>
          <w:tcPr>
            <w:tcW w:w="5167" w:type="dxa"/>
            <w:tcBorders>
              <w:top w:val="single" w:sz="6" w:space="0" w:color="auto"/>
              <w:left w:val="single" w:sz="6" w:space="0" w:color="auto"/>
              <w:bottom w:val="single" w:sz="6" w:space="0" w:color="auto"/>
              <w:right w:val="single" w:sz="6" w:space="0" w:color="auto"/>
            </w:tcBorders>
          </w:tcPr>
          <w:p w14:paraId="457CED90" w14:textId="463C02A5" w:rsidR="004E3D60" w:rsidRPr="006B6723" w:rsidRDefault="004E3D60" w:rsidP="004E3D60">
            <w:pPr>
              <w:spacing w:before="60" w:after="60" w:line="240" w:lineRule="auto"/>
              <w:rPr>
                <w:sz w:val="20"/>
              </w:rPr>
            </w:pPr>
            <w:r w:rsidRPr="006B6723">
              <w:rPr>
                <w:sz w:val="20"/>
              </w:rPr>
              <w:t xml:space="preserve">Bills to establish the </w:t>
            </w:r>
            <w:hyperlink r:id="rId14" w:history="1">
              <w:r w:rsidRPr="00552C60">
                <w:rPr>
                  <w:rStyle w:val="Hyperlink"/>
                  <w:sz w:val="20"/>
                </w:rPr>
                <w:t>Australian Aviation consumer protection framework</w:t>
              </w:r>
            </w:hyperlink>
            <w:r w:rsidRPr="006B6723">
              <w:rPr>
                <w:sz w:val="20"/>
              </w:rPr>
              <w:t xml:space="preserve"> were introduced to Parliament on 1 April 2026 following consultation since the release of the Aviation White Paper. </w:t>
            </w:r>
          </w:p>
          <w:p w14:paraId="277B9336" w14:textId="66B3F7BB" w:rsidR="004E3D60" w:rsidRPr="006B6723" w:rsidRDefault="004E3D60" w:rsidP="004E3D60">
            <w:pPr>
              <w:spacing w:before="60" w:after="60" w:line="240" w:lineRule="auto"/>
              <w:rPr>
                <w:sz w:val="20"/>
              </w:rPr>
            </w:pPr>
            <w:r w:rsidRPr="006B6723">
              <w:rPr>
                <w:sz w:val="20"/>
              </w:rPr>
              <w:t xml:space="preserve">The Aviation Consumer Protection Charter continues to be developed through engagement with industry and consumers. </w:t>
            </w:r>
          </w:p>
          <w:p w14:paraId="13C29DCA" w14:textId="029E5C4D" w:rsidR="004E3D60" w:rsidRPr="006B6723" w:rsidRDefault="004E3D60" w:rsidP="004E3D60">
            <w:pPr>
              <w:spacing w:before="60" w:after="60" w:line="240" w:lineRule="auto"/>
              <w:rPr>
                <w:sz w:val="20"/>
              </w:rPr>
            </w:pPr>
            <w:r w:rsidRPr="006B6723">
              <w:rPr>
                <w:sz w:val="20"/>
              </w:rPr>
              <w:t xml:space="preserve">In response to concerns raised by people with disability and disability advocates, the Australian Government committed to codesign new aviation disability standards with people with disability to strengthen and affirm the rights of people with disability during air travel. </w:t>
            </w:r>
          </w:p>
          <w:p w14:paraId="473653DA" w14:textId="077A5681" w:rsidR="004E3D60" w:rsidRPr="006B6723" w:rsidRDefault="004E3D60" w:rsidP="004E3D60">
            <w:pPr>
              <w:spacing w:before="60" w:after="60" w:line="240" w:lineRule="auto"/>
              <w:rPr>
                <w:sz w:val="20"/>
              </w:rPr>
            </w:pPr>
            <w:r w:rsidRPr="006B6723">
              <w:rPr>
                <w:sz w:val="20"/>
              </w:rPr>
              <w:t xml:space="preserve">Two further rounds of the </w:t>
            </w:r>
            <w:hyperlink r:id="rId15" w:history="1">
              <w:r w:rsidRPr="00BB4CB9">
                <w:rPr>
                  <w:rStyle w:val="Hyperlink"/>
                  <w:sz w:val="20"/>
                </w:rPr>
                <w:t>Regional Airports and Remote Airstrip Upgrade Programs </w:t>
              </w:r>
            </w:hyperlink>
            <w:r w:rsidRPr="006B6723">
              <w:rPr>
                <w:sz w:val="20"/>
              </w:rPr>
              <w:t>have been funded (one has been completed and one further round to run).</w:t>
            </w:r>
            <w:r w:rsidRPr="373D2F29">
              <w:rPr>
                <w:sz w:val="20"/>
              </w:rPr>
              <w:t xml:space="preserve"> </w:t>
            </w:r>
          </w:p>
          <w:p w14:paraId="54B44005" w14:textId="40B14A8E" w:rsidR="004E3D60" w:rsidRPr="006B6723" w:rsidRDefault="004E3D60" w:rsidP="004E3D60">
            <w:pPr>
              <w:spacing w:before="60" w:after="60" w:line="240" w:lineRule="auto"/>
              <w:rPr>
                <w:sz w:val="20"/>
              </w:rPr>
            </w:pPr>
            <w:r w:rsidRPr="006B6723">
              <w:rPr>
                <w:sz w:val="20"/>
              </w:rPr>
              <w:t>DITRDCSA has concluded the first ever air services arrangements with El Salvador allowing for unrestricted code sharing for airlines of both countries and an inaugural air services agreement with the Maldives, allowing for 14 passenger services per week for airlines of both countries and unlimited capacity for dedicated cargo services.</w:t>
            </w:r>
          </w:p>
          <w:p w14:paraId="602F0D9C" w14:textId="223F6E3D" w:rsidR="004E3D60" w:rsidRPr="006B6723" w:rsidRDefault="004E3D60" w:rsidP="004E3D60">
            <w:pPr>
              <w:spacing w:before="60" w:after="60" w:line="240" w:lineRule="auto"/>
              <w:rPr>
                <w:sz w:val="20"/>
              </w:rPr>
            </w:pPr>
            <w:r w:rsidRPr="006B6723">
              <w:rPr>
                <w:sz w:val="20"/>
              </w:rPr>
              <w:t>Bilateral air services arrangements with both Qatar and the United Arab Emirates have been expanded, increasing available capacity by seven passenger services per week for airlines of both countries and including Western Sydney as an international arrival and departure airport in those agreements. </w:t>
            </w:r>
          </w:p>
        </w:tc>
        <w:tc>
          <w:tcPr>
            <w:tcW w:w="6837" w:type="dxa"/>
            <w:tcBorders>
              <w:top w:val="single" w:sz="6" w:space="0" w:color="auto"/>
              <w:left w:val="single" w:sz="6" w:space="0" w:color="auto"/>
              <w:bottom w:val="single" w:sz="6" w:space="0" w:color="auto"/>
              <w:right w:val="single" w:sz="6" w:space="0" w:color="auto"/>
            </w:tcBorders>
          </w:tcPr>
          <w:p w14:paraId="0E6BC442" w14:textId="4AF11A4A" w:rsidR="004E3D60" w:rsidRPr="006B6723" w:rsidRDefault="004E3D60" w:rsidP="004E3D60">
            <w:pPr>
              <w:spacing w:before="60" w:after="60" w:line="240" w:lineRule="auto"/>
              <w:rPr>
                <w:sz w:val="20"/>
              </w:rPr>
            </w:pPr>
            <w:r w:rsidRPr="006B6723">
              <w:rPr>
                <w:sz w:val="20"/>
              </w:rPr>
              <w:t>The Exposure Draft of the Aviation Consumer Protection Charter obligations is expected to be available in coming months assuming the passage of legislation. </w:t>
            </w:r>
          </w:p>
          <w:p w14:paraId="60DA164B" w14:textId="3316FDD4" w:rsidR="004E3D60" w:rsidRPr="006B6723" w:rsidRDefault="004E3D60" w:rsidP="004E3D60">
            <w:pPr>
              <w:spacing w:before="60" w:after="60" w:line="240" w:lineRule="auto"/>
              <w:rPr>
                <w:sz w:val="20"/>
              </w:rPr>
            </w:pPr>
            <w:r w:rsidRPr="006B6723">
              <w:rPr>
                <w:sz w:val="20"/>
              </w:rPr>
              <w:t>Public input on the aviation disability standards will be invited through a consultation paper. Following public consultation, the government will consider which standards will go on to be formally designated as law.</w:t>
            </w:r>
          </w:p>
          <w:p w14:paraId="0829F4DD" w14:textId="7E4BC0AD" w:rsidR="004E3D60" w:rsidRPr="006B6723" w:rsidRDefault="004E3D60" w:rsidP="004E3D60">
            <w:pPr>
              <w:spacing w:before="60" w:after="60" w:line="240" w:lineRule="auto"/>
              <w:rPr>
                <w:rFonts w:eastAsia="Verdana" w:cs="Verdana"/>
                <w:color w:val="000000" w:themeColor="text1"/>
                <w:sz w:val="20"/>
              </w:rPr>
            </w:pPr>
            <w:r w:rsidRPr="006B6723">
              <w:rPr>
                <w:sz w:val="20"/>
              </w:rPr>
              <w:t>Western Sydney International (Nancy-Bird Walton) Airport plans to commence cargo services in July 2026, ahead of passenger services commencing in October 2026.</w:t>
            </w:r>
          </w:p>
        </w:tc>
      </w:tr>
      <w:tr w:rsidR="004E3D60" w:rsidRPr="006B6723" w14:paraId="2B25EBE9" w14:textId="040B1CC7" w:rsidTr="00AE3C42">
        <w:trPr>
          <w:cnfStyle w:val="000000100000" w:firstRow="0" w:lastRow="0" w:firstColumn="0" w:lastColumn="0" w:oddVBand="0" w:evenVBand="0" w:oddHBand="1" w:evenHBand="0" w:firstRowFirstColumn="0" w:firstRowLastColumn="0" w:lastRowFirstColumn="0" w:lastRowLastColumn="0"/>
          <w:trHeight w:val="268"/>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31C59F7F" w14:textId="673843EB" w:rsidR="004E3D60" w:rsidRPr="006B6723" w:rsidRDefault="004E3D60" w:rsidP="004E3D60">
            <w:pPr>
              <w:spacing w:before="60" w:after="60" w:line="240" w:lineRule="auto"/>
              <w:jc w:val="center"/>
              <w:rPr>
                <w:rStyle w:val="normaltextrun"/>
                <w:rFonts w:eastAsia="Verdana" w:cs="Verdana"/>
                <w:sz w:val="20"/>
                <w:szCs w:val="20"/>
              </w:rPr>
            </w:pPr>
            <w:r w:rsidRPr="006B6723">
              <w:rPr>
                <w:rStyle w:val="normaltextrun"/>
                <w:rFonts w:eastAsia="Verdana" w:cs="Verdana"/>
                <w:sz w:val="20"/>
                <w:szCs w:val="20"/>
              </w:rPr>
              <w:t>3.1</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394745EA" w14:textId="77777777" w:rsidR="004E3D60" w:rsidRPr="006B6723" w:rsidRDefault="004E3D60" w:rsidP="004E3D60">
            <w:pPr>
              <w:spacing w:before="60" w:after="60" w:line="240" w:lineRule="auto"/>
              <w:rPr>
                <w:sz w:val="20"/>
              </w:rPr>
            </w:pPr>
            <w:r w:rsidRPr="006B6723">
              <w:rPr>
                <w:sz w:val="20"/>
              </w:rPr>
              <w:t xml:space="preserve">Strengthening employment pathways and supports for career progression through: </w:t>
            </w:r>
          </w:p>
          <w:p w14:paraId="7E51F15A" w14:textId="77777777" w:rsidR="004E3D60" w:rsidRPr="006B6723" w:rsidRDefault="004E3D60" w:rsidP="004E3D60">
            <w:pPr>
              <w:pStyle w:val="ListParagraph"/>
              <w:numPr>
                <w:ilvl w:val="0"/>
                <w:numId w:val="15"/>
              </w:numPr>
              <w:spacing w:before="60" w:after="60" w:line="240" w:lineRule="auto"/>
              <w:rPr>
                <w:sz w:val="20"/>
              </w:rPr>
            </w:pPr>
            <w:r w:rsidRPr="006B6723">
              <w:rPr>
                <w:sz w:val="20"/>
              </w:rPr>
              <w:t>the Vocational Education and Training system</w:t>
            </w:r>
          </w:p>
          <w:p w14:paraId="28A5179C" w14:textId="77777777" w:rsidR="004E3D60" w:rsidRPr="006B6723" w:rsidRDefault="004E3D60" w:rsidP="004E3D60">
            <w:pPr>
              <w:pStyle w:val="ListParagraph"/>
              <w:numPr>
                <w:ilvl w:val="0"/>
                <w:numId w:val="15"/>
              </w:numPr>
              <w:spacing w:before="60" w:after="60" w:line="240" w:lineRule="auto"/>
              <w:rPr>
                <w:sz w:val="20"/>
              </w:rPr>
            </w:pPr>
            <w:r w:rsidRPr="006B6723">
              <w:rPr>
                <w:sz w:val="20"/>
              </w:rPr>
              <w:t>support for students and apprentices through the Australian Apprenticeship Support Services and Fee-Free TAFE programs</w:t>
            </w:r>
          </w:p>
          <w:p w14:paraId="608796B5" w14:textId="77777777" w:rsidR="004E3D60" w:rsidRPr="006B6723" w:rsidRDefault="004E3D60" w:rsidP="004E3D60">
            <w:pPr>
              <w:pStyle w:val="ListParagraph"/>
              <w:numPr>
                <w:ilvl w:val="0"/>
                <w:numId w:val="15"/>
              </w:numPr>
              <w:spacing w:before="60" w:after="60" w:line="240" w:lineRule="auto"/>
              <w:rPr>
                <w:sz w:val="20"/>
              </w:rPr>
            </w:pPr>
            <w:r w:rsidRPr="006B6723">
              <w:rPr>
                <w:sz w:val="20"/>
              </w:rPr>
              <w:lastRenderedPageBreak/>
              <w:t>targeted research by the Jobs and Skills Council into visitor economy occupation shortages</w:t>
            </w:r>
          </w:p>
          <w:p w14:paraId="05849565" w14:textId="0F1B7F2B" w:rsidR="004E3D60" w:rsidRPr="006B6723" w:rsidRDefault="004E3D60" w:rsidP="004E3D60">
            <w:pPr>
              <w:pStyle w:val="ListParagraph"/>
              <w:numPr>
                <w:ilvl w:val="0"/>
                <w:numId w:val="15"/>
              </w:numPr>
              <w:spacing w:before="60" w:after="60" w:line="240" w:lineRule="auto"/>
              <w:rPr>
                <w:rStyle w:val="normaltextrun"/>
                <w:rFonts w:eastAsia="Verdana" w:cs="Verdana"/>
                <w:sz w:val="20"/>
                <w:szCs w:val="20"/>
              </w:rPr>
            </w:pPr>
            <w:r w:rsidRPr="006B6723">
              <w:rPr>
                <w:sz w:val="20"/>
              </w:rPr>
              <w:t>investigation of a more joined-up tertiary system and improved labour mobility.</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4A63F764" w14:textId="3C1CCEFA" w:rsidR="004E3D60" w:rsidRPr="006B6723" w:rsidRDefault="004E3D60" w:rsidP="004E3D60">
            <w:pPr>
              <w:spacing w:before="60" w:after="60" w:line="240" w:lineRule="auto"/>
              <w:contextualSpacing/>
              <w:rPr>
                <w:rStyle w:val="normaltextrun"/>
                <w:rFonts w:eastAsia="Verdana" w:cs="Verdana"/>
                <w:color w:val="000000" w:themeColor="text1"/>
                <w:sz w:val="20"/>
                <w:szCs w:val="20"/>
              </w:rPr>
            </w:pPr>
            <w:r w:rsidRPr="006B6723">
              <w:rPr>
                <w:rStyle w:val="normaltextrun"/>
                <w:rFonts w:eastAsia="Verdana" w:cs="Verdana"/>
                <w:color w:val="000000" w:themeColor="text1"/>
                <w:sz w:val="20"/>
                <w:szCs w:val="20"/>
              </w:rPr>
              <w:lastRenderedPageBreak/>
              <w:t>Department of E</w:t>
            </w:r>
            <w:r>
              <w:rPr>
                <w:rStyle w:val="normaltextrun"/>
                <w:rFonts w:eastAsia="Verdana" w:cs="Verdana"/>
                <w:color w:val="000000" w:themeColor="text1"/>
                <w:sz w:val="20"/>
                <w:szCs w:val="20"/>
              </w:rPr>
              <w:t>mployment</w:t>
            </w:r>
            <w:r w:rsidRPr="006B6723">
              <w:rPr>
                <w:rStyle w:val="normaltextrun"/>
                <w:rFonts w:eastAsia="Verdana" w:cs="Verdana"/>
                <w:color w:val="000000" w:themeColor="text1"/>
                <w:sz w:val="20"/>
                <w:szCs w:val="20"/>
              </w:rPr>
              <w:t xml:space="preserve"> and Workplace Relations</w:t>
            </w:r>
          </w:p>
        </w:tc>
        <w:tc>
          <w:tcPr>
            <w:tcW w:w="5167" w:type="dxa"/>
            <w:tcBorders>
              <w:top w:val="single" w:sz="6" w:space="0" w:color="auto"/>
              <w:left w:val="single" w:sz="6" w:space="0" w:color="auto"/>
              <w:bottom w:val="single" w:sz="6" w:space="0" w:color="auto"/>
              <w:right w:val="single" w:sz="6" w:space="0" w:color="auto"/>
            </w:tcBorders>
          </w:tcPr>
          <w:p w14:paraId="4EC5EB23" w14:textId="01B67F30" w:rsidR="004E3D60" w:rsidRPr="006B6723" w:rsidRDefault="004E3D60" w:rsidP="004E3D60">
            <w:pPr>
              <w:spacing w:before="60" w:after="60" w:line="240" w:lineRule="auto"/>
              <w:rPr>
                <w:sz w:val="20"/>
              </w:rPr>
            </w:pPr>
            <w:r w:rsidRPr="006B6723">
              <w:rPr>
                <w:sz w:val="20"/>
              </w:rPr>
              <w:t>Services and Creative Skills Australia (SaCSA), the Jobs and Skills Council (JSC)</w:t>
            </w:r>
            <w:r>
              <w:rPr>
                <w:sz w:val="20"/>
              </w:rPr>
              <w:t xml:space="preserve"> </w:t>
            </w:r>
            <w:r w:rsidRPr="003B3448">
              <w:rPr>
                <w:sz w:val="20"/>
              </w:rPr>
              <w:t>for the Arts, Personal Services, Retail, Tourism and Hospitality sectors</w:t>
            </w:r>
            <w:r w:rsidRPr="006B6723">
              <w:rPr>
                <w:sz w:val="20"/>
              </w:rPr>
              <w:t xml:space="preserve">, is undertaking a research project to explore the drivers of shortages of apprentice chefs, with the aim of delivering </w:t>
            </w:r>
            <w:r w:rsidRPr="006B6723">
              <w:rPr>
                <w:sz w:val="20"/>
              </w:rPr>
              <w:lastRenderedPageBreak/>
              <w:t xml:space="preserve">practical evidence-based recommendations to support a sustainable, skilled and resilient pipeline of chefs and cooks. </w:t>
            </w:r>
          </w:p>
          <w:p w14:paraId="0381D7CB" w14:textId="36B4EF75" w:rsidR="004E3D60" w:rsidRPr="006B6723" w:rsidRDefault="004E3D60" w:rsidP="004E3D60">
            <w:pPr>
              <w:spacing w:before="60" w:after="60" w:line="240" w:lineRule="auto"/>
              <w:rPr>
                <w:sz w:val="20"/>
              </w:rPr>
            </w:pPr>
            <w:r w:rsidRPr="006B6723">
              <w:rPr>
                <w:sz w:val="20"/>
              </w:rPr>
              <w:t>SaCSA is also undertaking an activity to map career pathways of key occupations in the tourism and hospitality industry. The Government, in partnership with state and territory governments, is delivering $1.5 billion in joint funding for Free TAFE places across Australia from 2023 to 2026. To date, there have been over 742,000 Free TAFE enrolments, including more than 27,800 (3.7%) in hospitality and tourism, one of the top five national priority sectors.</w:t>
            </w:r>
          </w:p>
          <w:p w14:paraId="27402E63" w14:textId="77777777" w:rsidR="004E3D60" w:rsidRPr="006B6723" w:rsidRDefault="004E3D60" w:rsidP="004E3D60">
            <w:pPr>
              <w:spacing w:before="60" w:after="60" w:line="240" w:lineRule="auto"/>
              <w:rPr>
                <w:sz w:val="20"/>
              </w:rPr>
            </w:pPr>
            <w:r w:rsidRPr="006B6723">
              <w:rPr>
                <w:sz w:val="20"/>
              </w:rPr>
              <w:t>The Government has also made Free TAFE a permanent feature of the national VET system, investing over $1.6 billion to 2034-35 to support at least 100,000 places every year from 2027, underpinned by the Free TAFE Act 2025. </w:t>
            </w:r>
          </w:p>
          <w:p w14:paraId="16B49A4F" w14:textId="4EC96DAF" w:rsidR="004E3D60" w:rsidRPr="006B6723" w:rsidRDefault="004E3D60" w:rsidP="004E3D60">
            <w:pPr>
              <w:spacing w:before="60" w:after="60" w:line="240" w:lineRule="auto"/>
              <w:rPr>
                <w:sz w:val="20"/>
              </w:rPr>
            </w:pPr>
            <w:r w:rsidRPr="226B9BF3">
              <w:rPr>
                <w:sz w:val="20"/>
              </w:rPr>
              <w:t>Following the passage of legislation on 29 April 2026, the Australian Tertiary Education Commission (ATEC) was formally established. ATEC is leading the development of a Tertiary Roadmap that will make it easier for all students to move between VET and university and support students to gain qualifications matched to Australia’s future skills needs.</w:t>
            </w:r>
          </w:p>
        </w:tc>
        <w:tc>
          <w:tcPr>
            <w:tcW w:w="6837" w:type="dxa"/>
            <w:tcBorders>
              <w:top w:val="single" w:sz="6" w:space="0" w:color="auto"/>
              <w:left w:val="single" w:sz="6" w:space="0" w:color="auto"/>
              <w:bottom w:val="single" w:sz="6" w:space="0" w:color="auto"/>
              <w:right w:val="single" w:sz="6" w:space="0" w:color="auto"/>
            </w:tcBorders>
          </w:tcPr>
          <w:p w14:paraId="37D8F54F" w14:textId="01ABE662" w:rsidR="004E3D60" w:rsidRPr="006B6723" w:rsidRDefault="004E3D60" w:rsidP="004E3D60">
            <w:pPr>
              <w:spacing w:before="60" w:after="60" w:line="240" w:lineRule="auto"/>
              <w:rPr>
                <w:sz w:val="20"/>
              </w:rPr>
            </w:pPr>
            <w:r w:rsidRPr="373D2F29">
              <w:rPr>
                <w:sz w:val="20"/>
              </w:rPr>
              <w:lastRenderedPageBreak/>
              <w:t>The</w:t>
            </w:r>
            <w:r w:rsidRPr="006B6723">
              <w:rPr>
                <w:sz w:val="20"/>
              </w:rPr>
              <w:t xml:space="preserve"> Office of Tourism and the Visitor Economy has applied to join the Strategic Workforce Advisory Group to inform SACSA’s work priorities.</w:t>
            </w:r>
          </w:p>
          <w:p w14:paraId="2990980D" w14:textId="758C70B6" w:rsidR="004E3D60" w:rsidRPr="006B6723" w:rsidRDefault="004E3D60" w:rsidP="004E3D60">
            <w:pPr>
              <w:spacing w:before="60" w:after="60" w:line="240" w:lineRule="auto"/>
              <w:rPr>
                <w:sz w:val="20"/>
              </w:rPr>
            </w:pPr>
            <w:r w:rsidRPr="006B6723">
              <w:rPr>
                <w:sz w:val="20"/>
              </w:rPr>
              <w:t xml:space="preserve">SaCSA will continue its research projects. </w:t>
            </w:r>
            <w:r w:rsidRPr="001A48DC">
              <w:rPr>
                <w:sz w:val="20"/>
              </w:rPr>
              <w:t>In July 2026 SaCSA launched public consultation</w:t>
            </w:r>
            <w:r w:rsidRPr="006B6723">
              <w:rPr>
                <w:sz w:val="20"/>
              </w:rPr>
              <w:t xml:space="preserve"> to </w:t>
            </w:r>
            <w:r w:rsidRPr="001A48DC">
              <w:rPr>
                <w:sz w:val="20"/>
              </w:rPr>
              <w:t>inform</w:t>
            </w:r>
            <w:r w:rsidRPr="006B6723">
              <w:rPr>
                <w:sz w:val="20"/>
              </w:rPr>
              <w:t xml:space="preserve"> a training product development project to review and update tourism, travel, and </w:t>
            </w:r>
            <w:r w:rsidRPr="006B6723">
              <w:rPr>
                <w:sz w:val="20"/>
              </w:rPr>
              <w:lastRenderedPageBreak/>
              <w:t>guiding certificate III level qualifications and</w:t>
            </w:r>
            <w:r>
              <w:rPr>
                <w:sz w:val="20"/>
              </w:rPr>
              <w:t xml:space="preserve"> </w:t>
            </w:r>
            <w:r w:rsidRPr="00716570">
              <w:rPr>
                <w:sz w:val="20"/>
              </w:rPr>
              <w:t>will finalise updates to</w:t>
            </w:r>
            <w:r w:rsidRPr="006B6723">
              <w:rPr>
                <w:sz w:val="20"/>
              </w:rPr>
              <w:t xml:space="preserve"> certificate III level commercial cookery qualifications</w:t>
            </w:r>
            <w:r w:rsidRPr="001A48DC">
              <w:rPr>
                <w:sz w:val="20"/>
              </w:rPr>
              <w:t xml:space="preserve"> in mid to late 2026.</w:t>
            </w:r>
          </w:p>
        </w:tc>
      </w:tr>
      <w:tr w:rsidR="004E3D60" w:rsidRPr="006B6723" w14:paraId="2FAEA709" w14:textId="4156FA75" w:rsidTr="00AE3C42">
        <w:trPr>
          <w:trHeight w:val="920"/>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1FE7709F" w14:textId="25F0610E" w:rsidR="004E3D60" w:rsidRPr="006B6723" w:rsidRDefault="004E3D60" w:rsidP="004E3D60">
            <w:pPr>
              <w:spacing w:before="60" w:after="60" w:line="240" w:lineRule="auto"/>
              <w:jc w:val="center"/>
              <w:rPr>
                <w:rStyle w:val="normaltextrun"/>
                <w:rFonts w:eastAsia="Verdana" w:cs="Verdana"/>
                <w:sz w:val="20"/>
                <w:szCs w:val="20"/>
              </w:rPr>
            </w:pPr>
            <w:r w:rsidRPr="006B6723">
              <w:rPr>
                <w:rStyle w:val="normaltextrun"/>
                <w:rFonts w:eastAsia="Verdana" w:cs="Verdana"/>
                <w:sz w:val="20"/>
                <w:szCs w:val="20"/>
              </w:rPr>
              <w:lastRenderedPageBreak/>
              <w:t>3.2</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0CD84135" w14:textId="4AE62E1D" w:rsidR="004E3D60" w:rsidRPr="006B6723" w:rsidRDefault="004E3D60" w:rsidP="004E3D60">
            <w:pPr>
              <w:spacing w:before="60" w:after="60" w:line="240" w:lineRule="auto"/>
              <w:rPr>
                <w:sz w:val="20"/>
              </w:rPr>
            </w:pPr>
            <w:r w:rsidRPr="006B6723">
              <w:rPr>
                <w:sz w:val="20"/>
              </w:rPr>
              <w:t>Providing a streamlined migration system to achieve better targeted temporary skilled migration, more tailored regional visa settings and a reshaped permanent skilled migration system to help meet tourism industry skills needs and support productivity growth.</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5F4A3FA1" w14:textId="042B74B3" w:rsidR="004E3D60" w:rsidRPr="006B6723" w:rsidRDefault="004E3D60" w:rsidP="004E3D60">
            <w:pPr>
              <w:spacing w:before="60" w:after="60" w:line="240" w:lineRule="auto"/>
              <w:rPr>
                <w:rStyle w:val="normaltextrun"/>
                <w:rFonts w:eastAsia="Verdana" w:cs="Verdana"/>
                <w:color w:val="000000" w:themeColor="text1"/>
                <w:sz w:val="20"/>
                <w:szCs w:val="20"/>
              </w:rPr>
            </w:pPr>
            <w:r w:rsidRPr="006B6723">
              <w:rPr>
                <w:sz w:val="20"/>
              </w:rPr>
              <w:t>Department of Home Affairs</w:t>
            </w:r>
          </w:p>
        </w:tc>
        <w:tc>
          <w:tcPr>
            <w:tcW w:w="5167" w:type="dxa"/>
            <w:tcBorders>
              <w:top w:val="single" w:sz="6" w:space="0" w:color="auto"/>
              <w:left w:val="single" w:sz="6" w:space="0" w:color="auto"/>
              <w:bottom w:val="single" w:sz="6" w:space="0" w:color="auto"/>
              <w:right w:val="single" w:sz="6" w:space="0" w:color="auto"/>
            </w:tcBorders>
          </w:tcPr>
          <w:p w14:paraId="1B7AA2C3" w14:textId="6CF9F3B0" w:rsidR="004E3D60" w:rsidRPr="006B6723" w:rsidRDefault="004E3D60" w:rsidP="004E3D60">
            <w:pPr>
              <w:spacing w:before="60" w:after="60" w:line="240" w:lineRule="auto"/>
              <w:rPr>
                <w:rStyle w:val="normaltextrun"/>
                <w:rFonts w:eastAsia="Verdana" w:cs="Verdana"/>
                <w:sz w:val="20"/>
                <w:szCs w:val="20"/>
              </w:rPr>
            </w:pPr>
            <w:r w:rsidRPr="006B6723">
              <w:rPr>
                <w:rStyle w:val="normaltextrun"/>
                <w:rFonts w:eastAsia="Verdana" w:cs="Verdana"/>
                <w:sz w:val="20"/>
                <w:szCs w:val="20"/>
              </w:rPr>
              <w:t>Continuation of the Skills in Demand (SID) visa which enables employers to address labour shortages by bringing in skilled workers where they can't source an appropriately skilled Australian worker. Visa holders have a clear pathway to permanent residence, providing certainty to both migrants and employers.</w:t>
            </w:r>
          </w:p>
        </w:tc>
        <w:tc>
          <w:tcPr>
            <w:tcW w:w="6837" w:type="dxa"/>
            <w:tcBorders>
              <w:top w:val="single" w:sz="6" w:space="0" w:color="auto"/>
              <w:left w:val="single" w:sz="6" w:space="0" w:color="auto"/>
              <w:bottom w:val="single" w:sz="6" w:space="0" w:color="auto"/>
              <w:right w:val="single" w:sz="6" w:space="0" w:color="auto"/>
            </w:tcBorders>
          </w:tcPr>
          <w:p w14:paraId="68D82598" w14:textId="3F0074E2" w:rsidR="004E3D60" w:rsidRPr="006B6723" w:rsidRDefault="004E3D60" w:rsidP="004E3D60">
            <w:pPr>
              <w:spacing w:before="60" w:after="60" w:line="240" w:lineRule="auto"/>
              <w:rPr>
                <w:sz w:val="20"/>
              </w:rPr>
            </w:pPr>
            <w:r w:rsidRPr="006B6723">
              <w:rPr>
                <w:sz w:val="20"/>
              </w:rPr>
              <w:t>The Department of Home Affairs will continue to ensure skilled migration programs are supporting key industries and assist employers in addressing skill shortages.</w:t>
            </w:r>
          </w:p>
          <w:p w14:paraId="4AC2D693" w14:textId="044ED6A5" w:rsidR="004E3D60" w:rsidRPr="006B6723" w:rsidRDefault="004E3D60" w:rsidP="004E3D60">
            <w:pPr>
              <w:spacing w:before="60" w:after="60" w:line="240" w:lineRule="auto"/>
              <w:rPr>
                <w:rFonts w:eastAsia="Verdana" w:cs="Verdana"/>
                <w:color w:val="000000" w:themeColor="text1"/>
                <w:sz w:val="20"/>
              </w:rPr>
            </w:pPr>
            <w:r w:rsidRPr="006B6723">
              <w:rPr>
                <w:sz w:val="20"/>
              </w:rPr>
              <w:t>The Core Skills Occupation List (CSOL) applies to the Core Skills stream of the new SID visa, as well as the Direct Entry stream of the Employer Nomination Scheme (ENS) visa. The CSOL is informed by labour market analysis and stakeholder consultation by Jobs and Skills Australia. The lists will continue to be updated in line with future labour market changes.</w:t>
            </w:r>
            <w:r>
              <w:rPr>
                <w:sz w:val="20"/>
              </w:rPr>
              <w:t xml:space="preserve"> Updates to CSOL will likely occur later in 2026.</w:t>
            </w:r>
          </w:p>
        </w:tc>
      </w:tr>
      <w:tr w:rsidR="004E3D60" w:rsidRPr="006B6723" w14:paraId="7528698F" w14:textId="2EE18630" w:rsidTr="00AE3C42">
        <w:trPr>
          <w:cnfStyle w:val="000000100000" w:firstRow="0" w:lastRow="0" w:firstColumn="0" w:lastColumn="0" w:oddVBand="0" w:evenVBand="0" w:oddHBand="1" w:evenHBand="0" w:firstRowFirstColumn="0" w:firstRowLastColumn="0" w:lastRowFirstColumn="0" w:lastRowLastColumn="0"/>
          <w:trHeight w:val="2133"/>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30422541" w14:textId="11C823DD" w:rsidR="004E3D60" w:rsidRPr="006B6723" w:rsidRDefault="004E3D60" w:rsidP="004E3D60">
            <w:pPr>
              <w:spacing w:before="60" w:after="60" w:line="240" w:lineRule="auto"/>
              <w:jc w:val="center"/>
              <w:rPr>
                <w:rStyle w:val="normaltextrun"/>
                <w:rFonts w:eastAsia="Verdana" w:cs="Verdana"/>
                <w:sz w:val="20"/>
                <w:szCs w:val="20"/>
              </w:rPr>
            </w:pPr>
            <w:r w:rsidRPr="006B6723">
              <w:rPr>
                <w:rStyle w:val="normaltextrun"/>
                <w:rFonts w:eastAsia="Verdana" w:cs="Verdana"/>
                <w:sz w:val="20"/>
                <w:szCs w:val="20"/>
              </w:rPr>
              <w:t>3.3</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086A0FAB" w14:textId="6DBCF129" w:rsidR="004E3D60" w:rsidRPr="006B6723" w:rsidRDefault="004E3D60" w:rsidP="004E3D60">
            <w:pPr>
              <w:spacing w:before="60" w:after="60" w:line="240" w:lineRule="auto"/>
              <w:rPr>
                <w:sz w:val="20"/>
              </w:rPr>
            </w:pPr>
            <w:r w:rsidRPr="006B6723">
              <w:rPr>
                <w:sz w:val="20"/>
              </w:rPr>
              <w:t xml:space="preserve">Building business resilience through: </w:t>
            </w:r>
          </w:p>
          <w:p w14:paraId="67E7D07C" w14:textId="510B256D" w:rsidR="004E3D60" w:rsidRPr="006B6723" w:rsidRDefault="004E3D60" w:rsidP="004E3D60">
            <w:pPr>
              <w:pStyle w:val="ListParagraph"/>
              <w:numPr>
                <w:ilvl w:val="0"/>
                <w:numId w:val="8"/>
              </w:numPr>
              <w:spacing w:before="60" w:after="60" w:line="240" w:lineRule="auto"/>
              <w:contextualSpacing w:val="0"/>
              <w:rPr>
                <w:sz w:val="20"/>
              </w:rPr>
            </w:pPr>
            <w:r w:rsidRPr="006B6723">
              <w:rPr>
                <w:sz w:val="20"/>
              </w:rPr>
              <w:t>enhancing disaster readiness and providing support before, during and after disasters by fostering partnerships to strengthen Australia’s capacity for disaster resilience and support communities</w:t>
            </w:r>
          </w:p>
          <w:p w14:paraId="749BED40" w14:textId="3FE84430" w:rsidR="004E3D60" w:rsidRPr="006B6723" w:rsidRDefault="004E3D60" w:rsidP="004E3D60">
            <w:pPr>
              <w:pStyle w:val="ListParagraph"/>
              <w:numPr>
                <w:ilvl w:val="0"/>
                <w:numId w:val="8"/>
              </w:numPr>
              <w:spacing w:before="60" w:after="60" w:line="240" w:lineRule="auto"/>
              <w:contextualSpacing w:val="0"/>
              <w:rPr>
                <w:sz w:val="20"/>
              </w:rPr>
            </w:pPr>
            <w:r w:rsidRPr="006B6723">
              <w:rPr>
                <w:sz w:val="20"/>
              </w:rPr>
              <w:t>services such as the Small Business Debt Helpline and the NewAccess for Small Business Owners program.</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1CE9AAC3" w14:textId="7A31B0DB" w:rsidR="004E3D60" w:rsidRPr="006B6723" w:rsidRDefault="004E3D60" w:rsidP="004E3D60">
            <w:pPr>
              <w:spacing w:before="60" w:after="60" w:line="240" w:lineRule="auto"/>
              <w:rPr>
                <w:sz w:val="20"/>
              </w:rPr>
            </w:pPr>
            <w:r w:rsidRPr="006B6723">
              <w:rPr>
                <w:sz w:val="20"/>
              </w:rPr>
              <w:t>National Emergency Management Agency (NEMA), Treasury</w:t>
            </w:r>
          </w:p>
        </w:tc>
        <w:tc>
          <w:tcPr>
            <w:tcW w:w="5167" w:type="dxa"/>
            <w:tcBorders>
              <w:top w:val="single" w:sz="6" w:space="0" w:color="auto"/>
              <w:left w:val="single" w:sz="6" w:space="0" w:color="auto"/>
              <w:bottom w:val="single" w:sz="6" w:space="0" w:color="auto"/>
              <w:right w:val="single" w:sz="6" w:space="0" w:color="auto"/>
            </w:tcBorders>
          </w:tcPr>
          <w:p w14:paraId="3E3D2C22" w14:textId="54282AD2" w:rsidR="004E3D60" w:rsidRPr="006B6723" w:rsidRDefault="004E3D60" w:rsidP="004E3D60">
            <w:pPr>
              <w:spacing w:before="60" w:after="60" w:line="240" w:lineRule="auto"/>
              <w:rPr>
                <w:rStyle w:val="normaltextrun"/>
                <w:rFonts w:eastAsia="Verdana" w:cs="Verdana"/>
                <w:sz w:val="20"/>
                <w:szCs w:val="20"/>
              </w:rPr>
            </w:pPr>
            <w:r w:rsidRPr="006B6723">
              <w:rPr>
                <w:rStyle w:val="normaltextrun"/>
                <w:rFonts w:eastAsia="Verdana" w:cs="Verdana"/>
                <w:sz w:val="20"/>
                <w:szCs w:val="20"/>
              </w:rPr>
              <w:t xml:space="preserve">In </w:t>
            </w:r>
            <w:hyperlink r:id="rId16" w:history="1">
              <w:r w:rsidRPr="00286893">
                <w:rPr>
                  <w:rStyle w:val="Hyperlink"/>
                  <w:rFonts w:eastAsia="Verdana" w:cs="Verdana"/>
                  <w:sz w:val="20"/>
                </w:rPr>
                <w:t>Budget 2026-27</w:t>
              </w:r>
            </w:hyperlink>
            <w:r w:rsidRPr="006B6723">
              <w:rPr>
                <w:rStyle w:val="normaltextrun"/>
                <w:rFonts w:eastAsia="Verdana" w:cs="Verdana"/>
                <w:sz w:val="20"/>
                <w:szCs w:val="20"/>
              </w:rPr>
              <w:t xml:space="preserve">, the Government announced $8.2 million in additional funding to extend the NewAccess for Small Business Owners program and the Small Business Debt Helpline for a further 12 months until 30 June 2027. </w:t>
            </w:r>
          </w:p>
        </w:tc>
        <w:tc>
          <w:tcPr>
            <w:tcW w:w="6837" w:type="dxa"/>
            <w:tcBorders>
              <w:top w:val="single" w:sz="6" w:space="0" w:color="auto"/>
              <w:left w:val="single" w:sz="6" w:space="0" w:color="auto"/>
              <w:bottom w:val="single" w:sz="6" w:space="0" w:color="auto"/>
              <w:right w:val="single" w:sz="6" w:space="0" w:color="auto"/>
            </w:tcBorders>
          </w:tcPr>
          <w:p w14:paraId="4BD2E859" w14:textId="49F2371E" w:rsidR="004E3D60" w:rsidRPr="006B6723" w:rsidRDefault="004E3D60" w:rsidP="004E3D60">
            <w:pPr>
              <w:spacing w:before="60" w:after="60" w:line="240" w:lineRule="auto"/>
              <w:rPr>
                <w:rStyle w:val="normaltextrun"/>
                <w:rFonts w:eastAsia="Verdana" w:cs="Verdana"/>
                <w:sz w:val="20"/>
                <w:szCs w:val="20"/>
              </w:rPr>
            </w:pPr>
            <w:r w:rsidRPr="00BC0334">
              <w:rPr>
                <w:rFonts w:eastAsia="Verdana" w:cs="Verdana"/>
                <w:sz w:val="20"/>
              </w:rPr>
              <w:t>Applications for Round 4 of the Disaster Ready Fund will be from August, with announcements expected in 2026</w:t>
            </w:r>
            <w:r>
              <w:rPr>
                <w:rFonts w:eastAsia="Verdana" w:cs="Verdana"/>
                <w:sz w:val="20"/>
              </w:rPr>
              <w:t>.</w:t>
            </w:r>
          </w:p>
        </w:tc>
      </w:tr>
      <w:tr w:rsidR="004E3D60" w:rsidRPr="006B6723" w14:paraId="05B4110B" w14:textId="1A670508" w:rsidTr="00AE3C42">
        <w:trPr>
          <w:trHeight w:val="920"/>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30CD27EB" w14:textId="22EDF172" w:rsidR="004E3D60" w:rsidRPr="006B6723" w:rsidRDefault="004E3D60" w:rsidP="004E3D60">
            <w:pPr>
              <w:spacing w:before="60" w:after="60" w:line="240" w:lineRule="auto"/>
              <w:jc w:val="center"/>
              <w:rPr>
                <w:rStyle w:val="normaltextrun"/>
                <w:rFonts w:eastAsia="Verdana" w:cs="Verdana"/>
                <w:sz w:val="20"/>
                <w:szCs w:val="20"/>
              </w:rPr>
            </w:pPr>
            <w:r w:rsidRPr="006B6723">
              <w:rPr>
                <w:rStyle w:val="normaltextrun"/>
                <w:rFonts w:eastAsia="Verdana" w:cs="Verdana"/>
                <w:sz w:val="20"/>
                <w:szCs w:val="20"/>
              </w:rPr>
              <w:lastRenderedPageBreak/>
              <w:t>3.4</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49812DAC" w14:textId="76CC92F1" w:rsidR="004E3D60" w:rsidRPr="006B6723" w:rsidRDefault="004E3D60" w:rsidP="004E3D60">
            <w:pPr>
              <w:spacing w:before="60" w:after="60" w:line="240" w:lineRule="auto"/>
              <w:rPr>
                <w:sz w:val="20"/>
              </w:rPr>
            </w:pPr>
            <w:r w:rsidRPr="006B6723">
              <w:rPr>
                <w:sz w:val="20"/>
              </w:rPr>
              <w:t>Encouraging tourism businesses to modernise, improve digital literacy and embrace emerging technologies, including AI, through programs such as the Australian Small Business Advisory Services - Digital Solutions program and utilising the eeger platform for visitor economy jobseekers.</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7BC20E60" w14:textId="3E00D2B6" w:rsidR="004E3D60" w:rsidRPr="006B6723" w:rsidRDefault="004E3D60" w:rsidP="004E3D60">
            <w:pPr>
              <w:spacing w:before="60" w:after="60" w:line="240" w:lineRule="auto"/>
              <w:rPr>
                <w:sz w:val="20"/>
              </w:rPr>
            </w:pPr>
            <w:r w:rsidRPr="006B6723">
              <w:rPr>
                <w:sz w:val="20"/>
              </w:rPr>
              <w:t>Austrade, Treasury</w:t>
            </w:r>
          </w:p>
        </w:tc>
        <w:tc>
          <w:tcPr>
            <w:tcW w:w="5167" w:type="dxa"/>
            <w:tcBorders>
              <w:top w:val="single" w:sz="6" w:space="0" w:color="auto"/>
              <w:left w:val="single" w:sz="6" w:space="0" w:color="auto"/>
              <w:bottom w:val="single" w:sz="6" w:space="0" w:color="auto"/>
              <w:right w:val="single" w:sz="6" w:space="0" w:color="auto"/>
            </w:tcBorders>
          </w:tcPr>
          <w:p w14:paraId="43AAA0CE" w14:textId="6C9393C0" w:rsidR="004E3D60" w:rsidRDefault="004E3D60" w:rsidP="004E3D60">
            <w:pPr>
              <w:spacing w:before="60" w:after="60" w:line="240" w:lineRule="auto"/>
              <w:rPr>
                <w:rStyle w:val="normaltextrun"/>
                <w:rFonts w:eastAsia="Verdana" w:cs="Verdana"/>
                <w:sz w:val="20"/>
                <w:szCs w:val="20"/>
              </w:rPr>
            </w:pPr>
            <w:r w:rsidRPr="006B6723">
              <w:rPr>
                <w:rStyle w:val="normaltextrun"/>
                <w:rFonts w:eastAsia="Verdana" w:cs="Verdana"/>
                <w:sz w:val="20"/>
                <w:szCs w:val="20"/>
              </w:rPr>
              <w:t xml:space="preserve">Additional funding for the Australian Tourism Industry Council (ATIC) was </w:t>
            </w:r>
            <w:hyperlink r:id="rId17" w:history="1">
              <w:r w:rsidRPr="000F2028">
                <w:rPr>
                  <w:rStyle w:val="Hyperlink"/>
                  <w:rFonts w:eastAsia="Verdana" w:cs="Verdana"/>
                  <w:sz w:val="20"/>
                </w:rPr>
                <w:t>announced in the 2026-27 Federal Budget</w:t>
              </w:r>
            </w:hyperlink>
            <w:r w:rsidRPr="006B6723">
              <w:rPr>
                <w:rStyle w:val="normaltextrun"/>
                <w:rFonts w:eastAsia="Verdana" w:cs="Verdana"/>
                <w:sz w:val="20"/>
                <w:szCs w:val="20"/>
              </w:rPr>
              <w:t xml:space="preserve"> to support small businesses through the </w:t>
            </w:r>
            <w:hyperlink r:id="rId18" w:anchor="ref3" w:history="1">
              <w:r w:rsidRPr="00151CFD">
                <w:rPr>
                  <w:rStyle w:val="Hyperlink"/>
                  <w:rFonts w:eastAsia="Verdana" w:cs="Verdana"/>
                  <w:sz w:val="20"/>
                </w:rPr>
                <w:t>Quality Tourism Framework</w:t>
              </w:r>
            </w:hyperlink>
            <w:r w:rsidRPr="006B6723">
              <w:rPr>
                <w:rStyle w:val="normaltextrun"/>
                <w:rFonts w:eastAsia="Verdana" w:cs="Verdana"/>
                <w:sz w:val="20"/>
                <w:szCs w:val="20"/>
              </w:rPr>
              <w:t>.</w:t>
            </w:r>
            <w:r>
              <w:rPr>
                <w:rStyle w:val="normaltextrun"/>
                <w:rFonts w:eastAsia="Verdana" w:cs="Verdana"/>
                <w:sz w:val="20"/>
                <w:szCs w:val="20"/>
              </w:rPr>
              <w:t xml:space="preserve"> </w:t>
            </w:r>
            <w:r w:rsidRPr="000656E9">
              <w:rPr>
                <w:rStyle w:val="normaltextrun"/>
                <w:rFonts w:eastAsia="Verdana" w:cs="Verdana"/>
                <w:sz w:val="20"/>
                <w:szCs w:val="20"/>
              </w:rPr>
              <w:t>A new grant agreement with ATIC was signed in July 2026.</w:t>
            </w:r>
          </w:p>
          <w:p w14:paraId="656AD164" w14:textId="03E7C4E6" w:rsidR="004E3D60" w:rsidRPr="006B6723" w:rsidRDefault="004E3D60" w:rsidP="004E3D60">
            <w:pPr>
              <w:spacing w:before="60" w:after="60" w:line="240" w:lineRule="auto"/>
              <w:rPr>
                <w:rStyle w:val="normaltextrun"/>
                <w:rFonts w:eastAsia="Verdana" w:cs="Verdana"/>
                <w:sz w:val="20"/>
                <w:szCs w:val="20"/>
              </w:rPr>
            </w:pPr>
            <w:r w:rsidRPr="006B6723">
              <w:rPr>
                <w:rStyle w:val="normaltextrun"/>
                <w:rFonts w:eastAsia="Verdana" w:cs="Verdana"/>
                <w:sz w:val="20"/>
                <w:szCs w:val="20"/>
              </w:rPr>
              <w:t>Service delivery for Round 3 of the Digital Solutions program commence</w:t>
            </w:r>
            <w:r>
              <w:rPr>
                <w:rStyle w:val="normaltextrun"/>
                <w:rFonts w:eastAsia="Verdana" w:cs="Verdana"/>
                <w:sz w:val="20"/>
                <w:szCs w:val="20"/>
              </w:rPr>
              <w:t xml:space="preserve">d </w:t>
            </w:r>
            <w:r w:rsidRPr="006B6723">
              <w:rPr>
                <w:rStyle w:val="normaltextrun"/>
                <w:rFonts w:eastAsia="Verdana" w:cs="Verdana"/>
                <w:sz w:val="20"/>
                <w:szCs w:val="20"/>
              </w:rPr>
              <w:t>on 1 July 2026.</w:t>
            </w:r>
          </w:p>
        </w:tc>
        <w:tc>
          <w:tcPr>
            <w:tcW w:w="6837" w:type="dxa"/>
            <w:tcBorders>
              <w:top w:val="single" w:sz="6" w:space="0" w:color="auto"/>
              <w:left w:val="single" w:sz="6" w:space="0" w:color="auto"/>
              <w:bottom w:val="single" w:sz="6" w:space="0" w:color="auto"/>
              <w:right w:val="single" w:sz="6" w:space="0" w:color="auto"/>
            </w:tcBorders>
          </w:tcPr>
          <w:p w14:paraId="48D4C3C9" w14:textId="5642E9D2" w:rsidR="004E3D60" w:rsidRPr="000656E9" w:rsidRDefault="004E3D60" w:rsidP="004E3D60">
            <w:pPr>
              <w:spacing w:before="60" w:after="60" w:line="240" w:lineRule="auto"/>
              <w:rPr>
                <w:rStyle w:val="normaltextrun"/>
                <w:rFonts w:eastAsia="Verdana" w:cs="Verdana"/>
                <w:sz w:val="20"/>
                <w:szCs w:val="20"/>
              </w:rPr>
            </w:pPr>
            <w:r w:rsidRPr="000656E9">
              <w:rPr>
                <w:rStyle w:val="normaltextrun"/>
                <w:rFonts w:eastAsia="Verdana" w:cs="Verdana"/>
                <w:sz w:val="20"/>
                <w:szCs w:val="20"/>
              </w:rPr>
              <w:t>ATIC will provide a final report on the outcomes delivered under their first agreement (2022-2026). This report is anticipated by September 2026.</w:t>
            </w:r>
          </w:p>
          <w:p w14:paraId="4DEFDB12" w14:textId="2F0D6020" w:rsidR="004E3D60" w:rsidRPr="006B6723" w:rsidRDefault="004E3D60" w:rsidP="004E3D60">
            <w:pPr>
              <w:spacing w:before="60" w:after="60" w:line="240" w:lineRule="auto"/>
              <w:rPr>
                <w:rStyle w:val="normaltextrun"/>
                <w:rFonts w:eastAsia="Verdana" w:cs="Verdana"/>
                <w:sz w:val="20"/>
                <w:szCs w:val="20"/>
              </w:rPr>
            </w:pPr>
            <w:r w:rsidRPr="000656E9">
              <w:rPr>
                <w:rStyle w:val="normaltextrun"/>
                <w:rFonts w:eastAsia="Verdana" w:cs="Verdana"/>
                <w:sz w:val="20"/>
                <w:szCs w:val="20"/>
              </w:rPr>
              <w:t xml:space="preserve">Through the Digital Solutions program, eligible businesses will get access to free workshops and webinars throughout the second half of 2026. </w:t>
            </w:r>
          </w:p>
        </w:tc>
      </w:tr>
      <w:tr w:rsidR="004E3D60" w:rsidRPr="006B6723" w14:paraId="0D11A067" w14:textId="05634AF4" w:rsidTr="00AE3C42">
        <w:trPr>
          <w:cnfStyle w:val="000000100000" w:firstRow="0" w:lastRow="0" w:firstColumn="0" w:lastColumn="0" w:oddVBand="0" w:evenVBand="0" w:oddHBand="1" w:evenHBand="0" w:firstRowFirstColumn="0" w:firstRowLastColumn="0" w:lastRowFirstColumn="0" w:lastRowLastColumn="0"/>
          <w:trHeight w:val="672"/>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177C8DDE" w14:textId="1EF6D69C" w:rsidR="004E3D60" w:rsidRPr="006B6723" w:rsidRDefault="004E3D60" w:rsidP="004E3D60">
            <w:pPr>
              <w:spacing w:before="60" w:after="60" w:line="240" w:lineRule="auto"/>
              <w:jc w:val="center"/>
              <w:rPr>
                <w:rStyle w:val="normaltextrun"/>
                <w:rFonts w:eastAsia="Verdana" w:cs="Verdana"/>
                <w:sz w:val="20"/>
                <w:szCs w:val="20"/>
              </w:rPr>
            </w:pPr>
            <w:r w:rsidRPr="006B6723">
              <w:rPr>
                <w:rStyle w:val="normaltextrun"/>
                <w:rFonts w:eastAsia="Verdana" w:cs="Verdana"/>
                <w:sz w:val="20"/>
                <w:szCs w:val="20"/>
              </w:rPr>
              <w:t>3.5</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205B4488" w14:textId="3D5E356E" w:rsidR="004E3D60" w:rsidRPr="006B6723" w:rsidRDefault="004E3D60" w:rsidP="004E3D60">
            <w:pPr>
              <w:spacing w:before="60" w:after="60" w:line="240" w:lineRule="auto"/>
              <w:rPr>
                <w:sz w:val="20"/>
              </w:rPr>
            </w:pPr>
            <w:r w:rsidRPr="006B6723">
              <w:rPr>
                <w:sz w:val="20"/>
              </w:rPr>
              <w:t>Continuing to work with governments and industry to examine insurance accessibility and affordability challenges to inform government policy consideration and business strategies.</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6860E8CD" w14:textId="2505379A" w:rsidR="004E3D60" w:rsidRPr="006B6723" w:rsidRDefault="004E3D60" w:rsidP="004E3D60">
            <w:pPr>
              <w:spacing w:before="60" w:after="60" w:line="240" w:lineRule="auto"/>
              <w:rPr>
                <w:sz w:val="20"/>
              </w:rPr>
            </w:pPr>
            <w:r w:rsidRPr="006B6723">
              <w:rPr>
                <w:sz w:val="20"/>
              </w:rPr>
              <w:t xml:space="preserve">Treasury </w:t>
            </w:r>
            <w:r w:rsidRPr="006B6723">
              <w:rPr>
                <w:i/>
                <w:iCs/>
                <w:sz w:val="20"/>
              </w:rPr>
              <w:t>(Austrade)</w:t>
            </w:r>
          </w:p>
        </w:tc>
        <w:tc>
          <w:tcPr>
            <w:tcW w:w="5167" w:type="dxa"/>
            <w:tcBorders>
              <w:top w:val="single" w:sz="6" w:space="0" w:color="auto"/>
              <w:left w:val="single" w:sz="6" w:space="0" w:color="auto"/>
              <w:bottom w:val="single" w:sz="6" w:space="0" w:color="auto"/>
              <w:right w:val="single" w:sz="6" w:space="0" w:color="auto"/>
            </w:tcBorders>
          </w:tcPr>
          <w:p w14:paraId="712F52BB" w14:textId="1DDC704B" w:rsidR="004E3D60" w:rsidRPr="006B6723" w:rsidRDefault="004E3D60" w:rsidP="004E3D60">
            <w:pPr>
              <w:spacing w:before="60" w:after="60" w:line="240" w:lineRule="auto"/>
              <w:rPr>
                <w:rStyle w:val="normaltextrun"/>
                <w:rFonts w:eastAsia="Verdana" w:cs="Verdana"/>
                <w:sz w:val="20"/>
                <w:szCs w:val="20"/>
              </w:rPr>
            </w:pPr>
            <w:r w:rsidRPr="006B6723">
              <w:rPr>
                <w:rStyle w:val="normaltextrun"/>
                <w:rFonts w:eastAsia="Verdana" w:cs="Verdana"/>
                <w:sz w:val="20"/>
                <w:szCs w:val="20"/>
              </w:rPr>
              <w:t xml:space="preserve">Treasury has continued to monitor the business insurance market and examine issues relating to affordability and accessibility. </w:t>
            </w:r>
          </w:p>
          <w:p w14:paraId="09EB55BF" w14:textId="5E8AA6B1" w:rsidR="004E3D60" w:rsidRPr="006B6723" w:rsidRDefault="004E3D60" w:rsidP="004E3D60">
            <w:pPr>
              <w:spacing w:before="60" w:after="60" w:line="240" w:lineRule="auto"/>
              <w:rPr>
                <w:rStyle w:val="normaltextrun"/>
                <w:rFonts w:eastAsia="Verdana" w:cs="Verdana"/>
                <w:sz w:val="20"/>
                <w:szCs w:val="20"/>
              </w:rPr>
            </w:pPr>
            <w:r w:rsidRPr="006B6723">
              <w:rPr>
                <w:rStyle w:val="normaltextrun"/>
                <w:rFonts w:eastAsia="Verdana" w:cs="Verdana"/>
                <w:sz w:val="20"/>
                <w:szCs w:val="20"/>
              </w:rPr>
              <w:t>The Parliamentary Joint Committee on Corporations and Financial Services (PJC) is undertaking an inquiry into the provision, regulation and pricing of modern insurance products for small businesses and not-for-profit and community organisations operating in Australia. Submissions closed on 6 March 2026, and the Report will be handed down in October 2026.</w:t>
            </w:r>
          </w:p>
        </w:tc>
        <w:tc>
          <w:tcPr>
            <w:tcW w:w="6837" w:type="dxa"/>
            <w:tcBorders>
              <w:top w:val="single" w:sz="6" w:space="0" w:color="auto"/>
              <w:left w:val="single" w:sz="6" w:space="0" w:color="auto"/>
              <w:bottom w:val="single" w:sz="6" w:space="0" w:color="auto"/>
              <w:right w:val="single" w:sz="6" w:space="0" w:color="auto"/>
            </w:tcBorders>
          </w:tcPr>
          <w:p w14:paraId="40435A4D" w14:textId="0F617F33" w:rsidR="004E3D60" w:rsidRPr="0029228C" w:rsidRDefault="004E3D60" w:rsidP="004E3D60">
            <w:pPr>
              <w:spacing w:before="60" w:after="60" w:line="240" w:lineRule="auto"/>
              <w:rPr>
                <w:sz w:val="20"/>
              </w:rPr>
            </w:pPr>
            <w:r w:rsidRPr="0029228C">
              <w:rPr>
                <w:sz w:val="20"/>
              </w:rPr>
              <w:t>Monitor the PJC inquiry and contribute to the Government response.</w:t>
            </w:r>
          </w:p>
          <w:p w14:paraId="4C1093B7" w14:textId="72F10141" w:rsidR="004E3D60" w:rsidRPr="0029228C" w:rsidRDefault="004E3D60" w:rsidP="004E3D60">
            <w:pPr>
              <w:spacing w:before="60" w:after="60" w:line="240" w:lineRule="auto"/>
              <w:rPr>
                <w:sz w:val="20"/>
              </w:rPr>
            </w:pPr>
            <w:r w:rsidRPr="373D2F29">
              <w:rPr>
                <w:sz w:val="20"/>
              </w:rPr>
              <w:t>The</w:t>
            </w:r>
            <w:r w:rsidRPr="0029228C">
              <w:rPr>
                <w:sz w:val="20"/>
              </w:rPr>
              <w:t xml:space="preserve"> Office of Tourism and the Visitor Economy continues to engage with the Treasury, NEMA and the Australian Small Business and Family Enterprise Ombudsman on insurance matters.</w:t>
            </w:r>
          </w:p>
          <w:p w14:paraId="38D19A3E" w14:textId="1812C598" w:rsidR="004E3D60" w:rsidRDefault="004E3D60" w:rsidP="004E3D60">
            <w:pPr>
              <w:spacing w:before="60" w:after="60" w:line="240" w:lineRule="auto"/>
              <w:rPr>
                <w:sz w:val="20"/>
              </w:rPr>
            </w:pPr>
            <w:r w:rsidRPr="373D2F29">
              <w:rPr>
                <w:sz w:val="20"/>
              </w:rPr>
              <w:t>The Office of Tourism and the Visitor Economy</w:t>
            </w:r>
            <w:r>
              <w:rPr>
                <w:sz w:val="20"/>
              </w:rPr>
              <w:t xml:space="preserve"> </w:t>
            </w:r>
            <w:r w:rsidRPr="0029228C">
              <w:rPr>
                <w:sz w:val="20"/>
              </w:rPr>
              <w:t>will also engage with the Tourism Industry Council Queensland on their upcoming report into Insurance for Tourism businesses, as well as the Tourism Industry Council Tasmania on their ongoing body of work related to tourism.</w:t>
            </w:r>
          </w:p>
          <w:p w14:paraId="24452E65" w14:textId="164FE320" w:rsidR="004E3D60" w:rsidRPr="006B6723" w:rsidRDefault="004E3D60" w:rsidP="004E3D60">
            <w:pPr>
              <w:spacing w:before="60" w:after="60" w:line="240" w:lineRule="auto"/>
              <w:rPr>
                <w:rStyle w:val="normaltextrun"/>
                <w:rFonts w:eastAsia="Verdana" w:cs="Verdana"/>
                <w:sz w:val="20"/>
                <w:szCs w:val="20"/>
              </w:rPr>
            </w:pPr>
            <w:r>
              <w:rPr>
                <w:rStyle w:val="normaltextrun"/>
                <w:rFonts w:eastAsia="Verdana" w:cs="Verdana"/>
                <w:sz w:val="20"/>
                <w:szCs w:val="20"/>
              </w:rPr>
              <w:t xml:space="preserve">An Austrade sponsored PhD student from Griffith University is expected to </w:t>
            </w:r>
            <w:r w:rsidRPr="373D2F29">
              <w:rPr>
                <w:rStyle w:val="normaltextrun"/>
                <w:rFonts w:eastAsia="Verdana" w:cs="Verdana"/>
                <w:sz w:val="20"/>
                <w:szCs w:val="20"/>
              </w:rPr>
              <w:t>publicly</w:t>
            </w:r>
            <w:r>
              <w:rPr>
                <w:rStyle w:val="normaltextrun"/>
                <w:rFonts w:eastAsia="Verdana" w:cs="Verdana"/>
                <w:sz w:val="20"/>
                <w:szCs w:val="20"/>
              </w:rPr>
              <w:t xml:space="preserve"> research report in Q3 CY 2026, providing recommendations to governments and industry on addressing challenges associated with public liability insurance.</w:t>
            </w:r>
          </w:p>
        </w:tc>
      </w:tr>
      <w:tr w:rsidR="004E3D60" w:rsidRPr="006B6723" w14:paraId="7C72A300" w14:textId="7A34A38D" w:rsidTr="00AE3C42">
        <w:trPr>
          <w:trHeight w:val="920"/>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77BCE369" w14:textId="46149D97" w:rsidR="004E3D60" w:rsidRPr="006B6723" w:rsidRDefault="004E3D60" w:rsidP="004E3D60">
            <w:pPr>
              <w:spacing w:before="60" w:after="60" w:line="240" w:lineRule="auto"/>
              <w:contextualSpacing/>
              <w:jc w:val="center"/>
              <w:rPr>
                <w:rStyle w:val="normaltextrun"/>
                <w:rFonts w:eastAsia="Verdana" w:cs="Verdana"/>
                <w:sz w:val="20"/>
                <w:szCs w:val="20"/>
              </w:rPr>
            </w:pPr>
            <w:r w:rsidRPr="006B6723">
              <w:rPr>
                <w:rStyle w:val="normaltextrun"/>
                <w:rFonts w:eastAsia="Verdana" w:cs="Verdana"/>
                <w:sz w:val="20"/>
                <w:szCs w:val="20"/>
              </w:rPr>
              <w:t>4.1</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246D3C44" w14:textId="02AC27B9" w:rsidR="004E3D60" w:rsidRPr="006B6723" w:rsidRDefault="004E3D60" w:rsidP="004E3D60">
            <w:pPr>
              <w:spacing w:before="60" w:after="60" w:line="240" w:lineRule="auto"/>
              <w:rPr>
                <w:sz w:val="20"/>
              </w:rPr>
            </w:pPr>
            <w:r w:rsidRPr="006B6723">
              <w:rPr>
                <w:sz w:val="20"/>
              </w:rPr>
              <w:t>Engaging with the First Nations Visitor Economy Partnership as it provides leadership in embedding First Nations tourism in the visitor economy and creates a permanent First Nations national tourism peak body.</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0DADBFC4" w14:textId="657DB4BF" w:rsidR="004E3D60" w:rsidRPr="006B6723" w:rsidRDefault="004E3D60" w:rsidP="004E3D60">
            <w:pPr>
              <w:spacing w:before="60" w:after="60" w:line="240" w:lineRule="auto"/>
              <w:rPr>
                <w:sz w:val="20"/>
              </w:rPr>
            </w:pPr>
            <w:r w:rsidRPr="006B6723">
              <w:rPr>
                <w:sz w:val="20"/>
              </w:rPr>
              <w:t>Austrade, Tourism Australia, National Indigenous Australians Agency (NIAA)</w:t>
            </w:r>
          </w:p>
        </w:tc>
        <w:tc>
          <w:tcPr>
            <w:tcW w:w="5167" w:type="dxa"/>
            <w:tcBorders>
              <w:top w:val="single" w:sz="6" w:space="0" w:color="auto"/>
              <w:left w:val="single" w:sz="6" w:space="0" w:color="auto"/>
              <w:bottom w:val="single" w:sz="6" w:space="0" w:color="auto"/>
              <w:right w:val="single" w:sz="6" w:space="0" w:color="auto"/>
            </w:tcBorders>
          </w:tcPr>
          <w:p w14:paraId="3FCDE040" w14:textId="1B4C006A" w:rsidR="004E3D60" w:rsidRPr="006B6723" w:rsidRDefault="004E3D60" w:rsidP="004E3D60">
            <w:pPr>
              <w:spacing w:before="60" w:after="60" w:line="240" w:lineRule="auto"/>
              <w:rPr>
                <w:rFonts w:eastAsia="Verdana" w:cs="Verdana"/>
                <w:sz w:val="20"/>
              </w:rPr>
            </w:pPr>
            <w:r w:rsidRPr="006B6723">
              <w:rPr>
                <w:rFonts w:eastAsia="Verdana" w:cs="Verdana"/>
                <w:sz w:val="20"/>
              </w:rPr>
              <w:t xml:space="preserve">The First Nations Visitor Economy Partnership last met on 22 May 2026. At the meeting the Partnership endorsed the constitution for the Australian First Nations Tourism Alliance (AFNTA). </w:t>
            </w:r>
          </w:p>
        </w:tc>
        <w:tc>
          <w:tcPr>
            <w:tcW w:w="6837" w:type="dxa"/>
            <w:tcBorders>
              <w:top w:val="single" w:sz="6" w:space="0" w:color="auto"/>
              <w:left w:val="single" w:sz="6" w:space="0" w:color="auto"/>
              <w:bottom w:val="single" w:sz="6" w:space="0" w:color="auto"/>
              <w:right w:val="single" w:sz="6" w:space="0" w:color="auto"/>
            </w:tcBorders>
          </w:tcPr>
          <w:p w14:paraId="41A1D034" w14:textId="2F7E591C" w:rsidR="004E3D60" w:rsidRDefault="004E3D60" w:rsidP="004E3D60">
            <w:pPr>
              <w:spacing w:before="60" w:after="60" w:line="240" w:lineRule="auto"/>
              <w:rPr>
                <w:rFonts w:eastAsia="Verdana" w:cs="Verdana"/>
                <w:sz w:val="20"/>
              </w:rPr>
            </w:pPr>
            <w:r w:rsidRPr="006B6723">
              <w:rPr>
                <w:rFonts w:eastAsia="Verdana" w:cs="Verdana"/>
                <w:sz w:val="20"/>
              </w:rPr>
              <w:t>The</w:t>
            </w:r>
            <w:r>
              <w:rPr>
                <w:rFonts w:eastAsia="Verdana" w:cs="Verdana"/>
                <w:sz w:val="20"/>
              </w:rPr>
              <w:t xml:space="preserve"> </w:t>
            </w:r>
            <w:r w:rsidRPr="006B6723">
              <w:rPr>
                <w:rFonts w:eastAsia="Verdana" w:cs="Verdana"/>
                <w:sz w:val="20"/>
              </w:rPr>
              <w:t>First Nations Visitor Economy Partnership</w:t>
            </w:r>
            <w:r>
              <w:rPr>
                <w:rFonts w:eastAsia="Verdana" w:cs="Verdana"/>
                <w:sz w:val="20"/>
              </w:rPr>
              <w:t xml:space="preserve"> will next meet on 24 July 2026.</w:t>
            </w:r>
          </w:p>
          <w:p w14:paraId="5820C6AC" w14:textId="3244A49E" w:rsidR="004E3D60" w:rsidRPr="006B6723" w:rsidRDefault="004E3D60" w:rsidP="004E3D60">
            <w:pPr>
              <w:spacing w:before="60" w:after="60" w:line="240" w:lineRule="auto"/>
              <w:rPr>
                <w:rFonts w:eastAsia="Verdana" w:cs="Verdana"/>
                <w:color w:val="FF0000"/>
                <w:sz w:val="20"/>
              </w:rPr>
            </w:pPr>
            <w:r w:rsidRPr="006B6723">
              <w:rPr>
                <w:rFonts w:eastAsia="Verdana" w:cs="Verdana"/>
                <w:sz w:val="20"/>
              </w:rPr>
              <w:t xml:space="preserve">The AFNTA constitution </w:t>
            </w:r>
            <w:r>
              <w:rPr>
                <w:rFonts w:eastAsia="Verdana" w:cs="Verdana"/>
                <w:sz w:val="20"/>
              </w:rPr>
              <w:t>is expected to</w:t>
            </w:r>
            <w:r w:rsidRPr="006B6723">
              <w:rPr>
                <w:rFonts w:eastAsia="Verdana" w:cs="Verdana"/>
                <w:sz w:val="20"/>
              </w:rPr>
              <w:t xml:space="preserve"> be submitted to ASIC and the Australian Charities and Not-for-profit Commission </w:t>
            </w:r>
            <w:r>
              <w:rPr>
                <w:rFonts w:eastAsia="Verdana" w:cs="Verdana"/>
                <w:sz w:val="20"/>
              </w:rPr>
              <w:t xml:space="preserve">in Q3 2026, </w:t>
            </w:r>
            <w:r w:rsidRPr="006B6723">
              <w:rPr>
                <w:rFonts w:eastAsia="Verdana" w:cs="Verdana"/>
                <w:sz w:val="20"/>
              </w:rPr>
              <w:t>to enable the Alliance to be established as an entity</w:t>
            </w:r>
            <w:r>
              <w:rPr>
                <w:rFonts w:eastAsia="Verdana" w:cs="Verdana"/>
                <w:sz w:val="20"/>
              </w:rPr>
              <w:t xml:space="preserve"> </w:t>
            </w:r>
            <w:r w:rsidRPr="003054D4">
              <w:rPr>
                <w:rFonts w:eastAsia="Verdana" w:cs="Verdana"/>
                <w:sz w:val="20"/>
              </w:rPr>
              <w:t>by the end of 2026</w:t>
            </w:r>
            <w:r w:rsidRPr="006B6723">
              <w:rPr>
                <w:rFonts w:eastAsia="Verdana" w:cs="Verdana"/>
                <w:sz w:val="20"/>
              </w:rPr>
              <w:t>.</w:t>
            </w:r>
          </w:p>
        </w:tc>
      </w:tr>
      <w:tr w:rsidR="004E3D60" w:rsidRPr="006B6723" w14:paraId="35701EDD" w14:textId="6C9EC881" w:rsidTr="00AE3C42">
        <w:trPr>
          <w:cnfStyle w:val="000000100000" w:firstRow="0" w:lastRow="0" w:firstColumn="0" w:lastColumn="0" w:oddVBand="0" w:evenVBand="0" w:oddHBand="1" w:evenHBand="0" w:firstRowFirstColumn="0" w:firstRowLastColumn="0" w:lastRowFirstColumn="0" w:lastRowLastColumn="0"/>
          <w:trHeight w:val="920"/>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611D8553" w14:textId="67E30688" w:rsidR="004E3D60" w:rsidRPr="006B6723" w:rsidRDefault="004E3D60" w:rsidP="004E3D60">
            <w:pPr>
              <w:spacing w:before="60" w:after="60" w:line="240" w:lineRule="auto"/>
              <w:jc w:val="center"/>
              <w:rPr>
                <w:rStyle w:val="normaltextrun"/>
                <w:rFonts w:eastAsia="Verdana" w:cs="Verdana"/>
                <w:sz w:val="20"/>
                <w:szCs w:val="20"/>
              </w:rPr>
            </w:pPr>
            <w:r w:rsidRPr="006B6723">
              <w:rPr>
                <w:rStyle w:val="normaltextrun"/>
                <w:rFonts w:eastAsia="Verdana" w:cs="Verdana"/>
                <w:sz w:val="20"/>
                <w:szCs w:val="20"/>
              </w:rPr>
              <w:t>4.2</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4490BE95" w14:textId="69257CE2" w:rsidR="004E3D60" w:rsidRPr="006B6723" w:rsidRDefault="004E3D60" w:rsidP="004E3D60">
            <w:pPr>
              <w:spacing w:before="60" w:after="60" w:line="240" w:lineRule="auto"/>
              <w:rPr>
                <w:sz w:val="20"/>
              </w:rPr>
            </w:pPr>
            <w:r w:rsidRPr="006B6723">
              <w:rPr>
                <w:sz w:val="20"/>
              </w:rPr>
              <w:t>Embedding the National Sustainability Framework and Sustainable Tourism Toolkit principles in tourism industry practices, encouraging eligible tourism operators to bolster their ecotourism credentials, and promoting Australia’s sustainable tourism credentials.</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7FEC3683" w14:textId="6E743840" w:rsidR="004E3D60" w:rsidRPr="006B6723" w:rsidRDefault="004E3D60" w:rsidP="004E3D60">
            <w:pPr>
              <w:spacing w:before="60" w:after="60" w:line="240" w:lineRule="auto"/>
              <w:rPr>
                <w:sz w:val="20"/>
              </w:rPr>
            </w:pPr>
            <w:r w:rsidRPr="006B6723">
              <w:rPr>
                <w:sz w:val="20"/>
              </w:rPr>
              <w:t>Austrade, Tourism Australia</w:t>
            </w:r>
          </w:p>
        </w:tc>
        <w:tc>
          <w:tcPr>
            <w:tcW w:w="5167" w:type="dxa"/>
            <w:tcBorders>
              <w:top w:val="single" w:sz="6" w:space="0" w:color="auto"/>
              <w:left w:val="single" w:sz="6" w:space="0" w:color="auto"/>
              <w:bottom w:val="single" w:sz="6" w:space="0" w:color="auto"/>
              <w:right w:val="single" w:sz="6" w:space="0" w:color="auto"/>
            </w:tcBorders>
          </w:tcPr>
          <w:p w14:paraId="0402E475" w14:textId="77777777" w:rsidR="004E3D60" w:rsidRPr="006B6723" w:rsidRDefault="004E3D60" w:rsidP="004E3D60">
            <w:pPr>
              <w:spacing w:before="60" w:after="60" w:line="240" w:lineRule="auto"/>
              <w:rPr>
                <w:rFonts w:eastAsia="Verdana" w:cs="Verdana"/>
                <w:color w:val="000000" w:themeColor="text1"/>
                <w:sz w:val="20"/>
                <w:lang w:val="en-US"/>
              </w:rPr>
            </w:pPr>
            <w:r w:rsidRPr="006B6723">
              <w:rPr>
                <w:rFonts w:eastAsia="Verdana" w:cs="Verdana"/>
                <w:color w:val="000000" w:themeColor="text1"/>
                <w:sz w:val="20"/>
                <w:lang w:val="en-US"/>
              </w:rPr>
              <w:t>Tourism Australia has launched the </w:t>
            </w:r>
            <w:r w:rsidRPr="006B6723">
              <w:rPr>
                <w:rFonts w:eastAsia="Verdana" w:cs="Verdana"/>
                <w:i/>
                <w:iCs/>
                <w:color w:val="000000" w:themeColor="text1"/>
                <w:sz w:val="20"/>
                <w:lang w:val="en-US"/>
              </w:rPr>
              <w:t>Green is Our Gold</w:t>
            </w:r>
            <w:r w:rsidRPr="006B6723">
              <w:rPr>
                <w:rFonts w:eastAsia="Verdana" w:cs="Verdana"/>
                <w:color w:val="000000" w:themeColor="text1"/>
                <w:sz w:val="20"/>
                <w:lang w:val="en-US"/>
              </w:rPr>
              <w:t> initiative to drive more widespread uptake of sustainable tourism activities.</w:t>
            </w:r>
          </w:p>
          <w:p w14:paraId="6C0982DF" w14:textId="13C99BD6" w:rsidR="004E3D60" w:rsidRPr="006B6723" w:rsidRDefault="004E3D60" w:rsidP="004E3D60">
            <w:pPr>
              <w:spacing w:before="60" w:after="60" w:line="240" w:lineRule="auto"/>
              <w:rPr>
                <w:rFonts w:eastAsia="Verdana" w:cs="Verdana"/>
                <w:color w:val="000000" w:themeColor="text1"/>
                <w:sz w:val="20"/>
              </w:rPr>
            </w:pPr>
            <w:r w:rsidRPr="373D2F29">
              <w:rPr>
                <w:rFonts w:eastAsia="Verdana" w:cs="Verdana"/>
                <w:sz w:val="20"/>
              </w:rPr>
              <w:t>The</w:t>
            </w:r>
            <w:r w:rsidRPr="006B6723">
              <w:rPr>
                <w:rFonts w:eastAsia="Verdana" w:cs="Verdana"/>
                <w:sz w:val="20"/>
              </w:rPr>
              <w:t xml:space="preserve"> Office of Tourism and the Visitor Economy and Tourism Australia last met with state and territory government counterparts on 11 June 2026 through an Australian Standing Committee on Tourism (ASCOT) sub-group, to progress the embedding of Sustainable Tourism practices with tourism operators. The meeting considered communication and tools for tourism operators in relation to the upcoming EU Empowering Consumers Directive implementation, planned for September 2027.</w:t>
            </w:r>
          </w:p>
        </w:tc>
        <w:tc>
          <w:tcPr>
            <w:tcW w:w="6837" w:type="dxa"/>
            <w:tcBorders>
              <w:top w:val="single" w:sz="6" w:space="0" w:color="auto"/>
              <w:left w:val="single" w:sz="6" w:space="0" w:color="auto"/>
              <w:bottom w:val="single" w:sz="6" w:space="0" w:color="auto"/>
              <w:right w:val="single" w:sz="6" w:space="0" w:color="auto"/>
            </w:tcBorders>
          </w:tcPr>
          <w:p w14:paraId="43EEA657" w14:textId="5118021D" w:rsidR="004E3D60" w:rsidRPr="006B6723" w:rsidRDefault="004E3D60" w:rsidP="004E3D60">
            <w:pPr>
              <w:spacing w:before="60" w:after="60" w:line="240" w:lineRule="auto"/>
              <w:rPr>
                <w:rFonts w:eastAsia="Verdana" w:cs="Verdana"/>
                <w:color w:val="000000" w:themeColor="text1"/>
                <w:sz w:val="20"/>
              </w:rPr>
            </w:pPr>
            <w:r w:rsidRPr="006B6723">
              <w:rPr>
                <w:rFonts w:eastAsia="Verdana" w:cs="Verdana"/>
                <w:color w:val="000000" w:themeColor="text1"/>
                <w:sz w:val="20"/>
              </w:rPr>
              <w:t>Tourism Australia is working with the Office of Tourism and the Visitor Economy and state and territory organisations on the development of information and consistent communications on the European Empowering Consumers Directive for tourism operators</w:t>
            </w:r>
            <w:r>
              <w:rPr>
                <w:rFonts w:eastAsia="Verdana" w:cs="Verdana"/>
                <w:color w:val="000000" w:themeColor="text1"/>
                <w:sz w:val="20"/>
              </w:rPr>
              <w:t xml:space="preserve"> (for 2026)</w:t>
            </w:r>
            <w:r w:rsidRPr="006B6723" w:rsidDel="00097313">
              <w:rPr>
                <w:rFonts w:eastAsia="Verdana" w:cs="Verdana"/>
                <w:color w:val="000000" w:themeColor="text1"/>
                <w:sz w:val="20"/>
              </w:rPr>
              <w:t>.</w:t>
            </w:r>
          </w:p>
        </w:tc>
      </w:tr>
      <w:tr w:rsidR="004E3D60" w:rsidRPr="006B6723" w14:paraId="7CFD57E8" w14:textId="20F8942A" w:rsidTr="00AE3C42">
        <w:trPr>
          <w:trHeight w:val="920"/>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0D7D4EB9" w14:textId="27800169" w:rsidR="004E3D60" w:rsidRPr="006B6723" w:rsidRDefault="004E3D60" w:rsidP="004E3D60">
            <w:pPr>
              <w:spacing w:before="60" w:after="60" w:line="240" w:lineRule="auto"/>
              <w:jc w:val="center"/>
              <w:rPr>
                <w:rStyle w:val="normaltextrun"/>
                <w:rFonts w:eastAsia="Verdana" w:cs="Verdana"/>
                <w:sz w:val="20"/>
                <w:szCs w:val="20"/>
              </w:rPr>
            </w:pPr>
            <w:r w:rsidRPr="006B6723">
              <w:rPr>
                <w:rStyle w:val="normaltextrun"/>
                <w:rFonts w:eastAsia="Verdana" w:cs="Verdana"/>
                <w:sz w:val="20"/>
                <w:szCs w:val="20"/>
              </w:rPr>
              <w:lastRenderedPageBreak/>
              <w:t>4.3</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1B41BF77" w14:textId="7C175874" w:rsidR="004E3D60" w:rsidRPr="006B6723" w:rsidRDefault="004E3D60" w:rsidP="004E3D60">
            <w:pPr>
              <w:spacing w:before="60" w:after="60" w:line="240" w:lineRule="auto"/>
              <w:rPr>
                <w:sz w:val="20"/>
              </w:rPr>
            </w:pPr>
            <w:r w:rsidRPr="006B6723">
              <w:rPr>
                <w:sz w:val="20"/>
              </w:rPr>
              <w:t>Supporting the visitor economy to decarbonise by drawing on the Australian Government’s Net Zero Plan, leveraging the sectoral emissions reduction plans, and the First Nations Clean Energy Strategy; and to monitor the visitor economy’s emissions profile, including an agreed definition and measurement of national tourism net greenhouse gas emissions.</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445AEACF" w14:textId="0B43DEAE" w:rsidR="004E3D60" w:rsidRPr="006B6723" w:rsidRDefault="004E3D60" w:rsidP="004E3D60">
            <w:pPr>
              <w:spacing w:before="60" w:after="60" w:line="240" w:lineRule="auto"/>
              <w:rPr>
                <w:sz w:val="20"/>
              </w:rPr>
            </w:pPr>
            <w:r w:rsidRPr="006B6723">
              <w:rPr>
                <w:sz w:val="20"/>
              </w:rPr>
              <w:t>Austrade, Australian Bureau of Statistics (ABS), Department of Climate Change, Energy, the Environment and Water (DCCEEW)</w:t>
            </w:r>
          </w:p>
        </w:tc>
        <w:tc>
          <w:tcPr>
            <w:tcW w:w="5167" w:type="dxa"/>
            <w:tcBorders>
              <w:top w:val="single" w:sz="6" w:space="0" w:color="auto"/>
              <w:left w:val="single" w:sz="6" w:space="0" w:color="auto"/>
              <w:bottom w:val="single" w:sz="6" w:space="0" w:color="auto"/>
              <w:right w:val="single" w:sz="6" w:space="0" w:color="auto"/>
            </w:tcBorders>
          </w:tcPr>
          <w:p w14:paraId="5AFA484C" w14:textId="7B147946" w:rsidR="004E3D60" w:rsidRPr="006B6723" w:rsidRDefault="004E3D60" w:rsidP="004E3D60">
            <w:pPr>
              <w:spacing w:before="60" w:after="60" w:line="240" w:lineRule="auto"/>
              <w:rPr>
                <w:rFonts w:eastAsia="Verdana" w:cs="Verdana"/>
                <w:color w:val="000000" w:themeColor="text1"/>
                <w:sz w:val="20"/>
              </w:rPr>
            </w:pPr>
            <w:r w:rsidRPr="373D2F29">
              <w:rPr>
                <w:rFonts w:eastAsia="Verdana" w:cs="Verdana"/>
                <w:color w:val="000000" w:themeColor="text1"/>
                <w:sz w:val="20"/>
              </w:rPr>
              <w:t>The</w:t>
            </w:r>
            <w:r w:rsidRPr="006B6723">
              <w:rPr>
                <w:rFonts w:eastAsia="Verdana" w:cs="Verdana"/>
                <w:color w:val="000000" w:themeColor="text1"/>
                <w:sz w:val="20"/>
              </w:rPr>
              <w:t xml:space="preserve"> Office of Tourism and the Visitor Economy and the ABS signed a Memorandum of Understanding for the ABS to develop Australia’s first Tourism Greenhouse Gas Emissions Account. The account will, to the extent possible, align with the Statistical Framework for Measuring the Sustainability of Tourism (SF-MST) and the System of Environmental-Economic Accounting (SEEA). It is intended that outputs can be directly integrated with, and assessed alongside, the Tourism Satellite Account (TSA).</w:t>
            </w:r>
            <w:r w:rsidRPr="006B6723">
              <w:rPr>
                <w:rFonts w:eastAsia="Verdana" w:cs="Verdana"/>
                <w:color w:val="FF0000"/>
                <w:sz w:val="20"/>
              </w:rPr>
              <w:t xml:space="preserve"> </w:t>
            </w:r>
          </w:p>
        </w:tc>
        <w:tc>
          <w:tcPr>
            <w:tcW w:w="6837" w:type="dxa"/>
            <w:tcBorders>
              <w:top w:val="single" w:sz="6" w:space="0" w:color="auto"/>
              <w:left w:val="single" w:sz="6" w:space="0" w:color="auto"/>
              <w:bottom w:val="single" w:sz="6" w:space="0" w:color="auto"/>
              <w:right w:val="single" w:sz="6" w:space="0" w:color="auto"/>
            </w:tcBorders>
          </w:tcPr>
          <w:p w14:paraId="4EB47BC7" w14:textId="7F624E9F" w:rsidR="004E3D60" w:rsidRPr="006B6723" w:rsidRDefault="004E3D60" w:rsidP="004E3D60">
            <w:pPr>
              <w:spacing w:before="60" w:after="60" w:line="240" w:lineRule="auto"/>
              <w:rPr>
                <w:rFonts w:eastAsia="Verdana" w:cs="Verdana"/>
                <w:color w:val="000000" w:themeColor="text1"/>
                <w:sz w:val="20"/>
              </w:rPr>
            </w:pPr>
            <w:r w:rsidRPr="006B6723">
              <w:rPr>
                <w:rFonts w:eastAsia="Verdana" w:cs="Verdana"/>
                <w:color w:val="000000" w:themeColor="text1"/>
                <w:sz w:val="20"/>
              </w:rPr>
              <w:t xml:space="preserve">ABS will commence work on the Tourism Greenhouse Gas Emissions Account in July 2026, with an expected release date of mid-2027. </w:t>
            </w:r>
          </w:p>
        </w:tc>
      </w:tr>
      <w:tr w:rsidR="004E3D60" w:rsidRPr="006B6723" w14:paraId="5C2820C1" w14:textId="114BFAA4" w:rsidTr="00AE3C42">
        <w:trPr>
          <w:cnfStyle w:val="000000100000" w:firstRow="0" w:lastRow="0" w:firstColumn="0" w:lastColumn="0" w:oddVBand="0" w:evenVBand="0" w:oddHBand="1" w:evenHBand="0" w:firstRowFirstColumn="0" w:firstRowLastColumn="0" w:lastRowFirstColumn="0" w:lastRowLastColumn="0"/>
          <w:trHeight w:val="547"/>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799C5C68" w14:textId="1FEE8E90" w:rsidR="004E3D60" w:rsidRPr="006B6723" w:rsidRDefault="004E3D60" w:rsidP="004E3D60">
            <w:pPr>
              <w:spacing w:before="60" w:after="60" w:line="240" w:lineRule="auto"/>
              <w:jc w:val="center"/>
              <w:rPr>
                <w:rStyle w:val="normaltextrun"/>
                <w:rFonts w:eastAsia="Verdana" w:cs="Verdana"/>
                <w:b/>
                <w:bCs/>
                <w:sz w:val="20"/>
                <w:szCs w:val="20"/>
              </w:rPr>
            </w:pPr>
            <w:r w:rsidRPr="006B6723">
              <w:rPr>
                <w:sz w:val="20"/>
                <w:lang w:val="en-US"/>
              </w:rPr>
              <w:t>4.4</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7E91EBA7" w14:textId="235F0997" w:rsidR="004E3D60" w:rsidRPr="006B6723" w:rsidRDefault="004E3D60" w:rsidP="004E3D60">
            <w:pPr>
              <w:spacing w:before="60" w:after="60" w:line="240" w:lineRule="auto"/>
              <w:rPr>
                <w:sz w:val="20"/>
              </w:rPr>
            </w:pPr>
            <w:r w:rsidRPr="006B6723">
              <w:rPr>
                <w:sz w:val="20"/>
              </w:rPr>
              <w:t>Investing in low carbon fuels and clean energy technology, including through the Future Made in Australia Innovation Fund, complemented by work to promote and facilitate foreign direct investment to develop low carbon fuels in Australia.</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3F0A58D5" w14:textId="1CD38066" w:rsidR="004E3D60" w:rsidRPr="006B6723" w:rsidRDefault="004E3D60" w:rsidP="004E3D60">
            <w:pPr>
              <w:spacing w:before="60" w:after="60" w:line="240" w:lineRule="auto"/>
              <w:rPr>
                <w:sz w:val="20"/>
              </w:rPr>
            </w:pPr>
            <w:r w:rsidRPr="006B6723">
              <w:rPr>
                <w:sz w:val="20"/>
              </w:rPr>
              <w:t>DCCEEW, DITRDCSA, Austrade</w:t>
            </w:r>
          </w:p>
        </w:tc>
        <w:tc>
          <w:tcPr>
            <w:tcW w:w="5167" w:type="dxa"/>
            <w:tcBorders>
              <w:top w:val="single" w:sz="6" w:space="0" w:color="auto"/>
              <w:left w:val="single" w:sz="6" w:space="0" w:color="auto"/>
              <w:bottom w:val="single" w:sz="6" w:space="0" w:color="auto"/>
              <w:right w:val="single" w:sz="6" w:space="0" w:color="auto"/>
            </w:tcBorders>
          </w:tcPr>
          <w:p w14:paraId="0E323959" w14:textId="1065A131" w:rsidR="004E3D60" w:rsidRPr="006B6723" w:rsidRDefault="004E3D60" w:rsidP="004E3D60">
            <w:pPr>
              <w:spacing w:before="60" w:after="60" w:line="240" w:lineRule="auto"/>
              <w:rPr>
                <w:rStyle w:val="normaltextrun"/>
                <w:rFonts w:eastAsia="Verdana" w:cs="Verdana"/>
                <w:sz w:val="20"/>
                <w:szCs w:val="20"/>
              </w:rPr>
            </w:pPr>
            <w:r w:rsidRPr="006B6723">
              <w:rPr>
                <w:rStyle w:val="normaltextrun"/>
                <w:rFonts w:eastAsia="Verdana" w:cs="Verdana"/>
                <w:sz w:val="20"/>
                <w:szCs w:val="20"/>
              </w:rPr>
              <w:t>The Future Made in Australia (FMA) Innovation Fund administered by ARENA will provide up to $1.5 billion in grant funding to support pre-commercial innovation, demonstration and deployment of renewable energy and low emission technologies, to support Australia’s transition to a net zero economy. The FMA Innovation Fund launched in December 2025 and will be an ongoing, open program. Grant funding will be available across 3 Priorities, one of which is LCLF, and will provide $250 million to LCLF including sustainable aviation fuels and renewable diesel.</w:t>
            </w:r>
          </w:p>
          <w:p w14:paraId="6ABC12DB" w14:textId="126C69A1" w:rsidR="004E3D60" w:rsidRPr="006B6723" w:rsidRDefault="004E3D60" w:rsidP="004E3D60">
            <w:pPr>
              <w:spacing w:before="60" w:after="60" w:line="240" w:lineRule="auto"/>
              <w:rPr>
                <w:rFonts w:eastAsia="Verdana" w:cs="Verdana"/>
                <w:sz w:val="20"/>
              </w:rPr>
            </w:pPr>
            <w:r w:rsidRPr="006B6723">
              <w:rPr>
                <w:rStyle w:val="normaltextrun"/>
                <w:rFonts w:eastAsia="Verdana" w:cs="Verdana"/>
                <w:sz w:val="20"/>
                <w:szCs w:val="20"/>
              </w:rPr>
              <w:t>Austrade organised a delegation from Australia to attend the Sustainable Aviation Fuels (</w:t>
            </w:r>
            <w:r w:rsidRPr="006B6723">
              <w:rPr>
                <w:rStyle w:val="normaltextrun"/>
                <w:sz w:val="20"/>
                <w:szCs w:val="20"/>
              </w:rPr>
              <w:t xml:space="preserve">SAF) </w:t>
            </w:r>
            <w:r w:rsidRPr="006B6723">
              <w:rPr>
                <w:rStyle w:val="normaltextrun"/>
                <w:rFonts w:eastAsia="Verdana" w:cs="Verdana"/>
                <w:sz w:val="20"/>
                <w:szCs w:val="20"/>
              </w:rPr>
              <w:t>Congress in June 2026, Europe’s largest SAF event, followed by other commitments in Germany and the UK to pitch the opportunity for investing in Australia’s low carbon fuels industry.</w:t>
            </w:r>
          </w:p>
        </w:tc>
        <w:tc>
          <w:tcPr>
            <w:tcW w:w="6837" w:type="dxa"/>
            <w:tcBorders>
              <w:top w:val="single" w:sz="6" w:space="0" w:color="auto"/>
              <w:left w:val="single" w:sz="6" w:space="0" w:color="auto"/>
              <w:bottom w:val="single" w:sz="6" w:space="0" w:color="auto"/>
              <w:right w:val="single" w:sz="6" w:space="0" w:color="auto"/>
            </w:tcBorders>
          </w:tcPr>
          <w:p w14:paraId="7CB76C59" w14:textId="75D612C4" w:rsidR="004E3D60" w:rsidRPr="005E2084" w:rsidRDefault="004E3D60" w:rsidP="004E3D60">
            <w:pPr>
              <w:spacing w:before="60" w:after="60" w:line="240" w:lineRule="auto"/>
              <w:rPr>
                <w:rStyle w:val="normaltextrun"/>
                <w:rFonts w:eastAsia="Verdana" w:cs="Verdana"/>
                <w:sz w:val="20"/>
                <w:szCs w:val="20"/>
              </w:rPr>
            </w:pPr>
            <w:r w:rsidRPr="005E2084">
              <w:rPr>
                <w:rStyle w:val="normaltextrun"/>
                <w:rFonts w:eastAsia="Verdana" w:cs="Verdana"/>
                <w:sz w:val="20"/>
                <w:szCs w:val="20"/>
              </w:rPr>
              <w:t xml:space="preserve">DCCEEW and DITRDCSA are working with ARENA, to finalise the design of the </w:t>
            </w:r>
            <w:r w:rsidRPr="006B6723">
              <w:rPr>
                <w:rStyle w:val="normaltextrun"/>
                <w:rFonts w:eastAsia="Verdana" w:cs="Verdana"/>
                <w:sz w:val="20"/>
                <w:szCs w:val="20"/>
              </w:rPr>
              <w:t>$1.1 billion</w:t>
            </w:r>
            <w:r w:rsidRPr="005E2084">
              <w:rPr>
                <w:rStyle w:val="normaltextrun"/>
                <w:rFonts w:eastAsia="Verdana" w:cs="Verdana"/>
                <w:sz w:val="20"/>
                <w:szCs w:val="20"/>
              </w:rPr>
              <w:t xml:space="preserve"> Cleaner Fuels Program which </w:t>
            </w:r>
            <w:r w:rsidRPr="006B6723">
              <w:rPr>
                <w:rStyle w:val="normaltextrun"/>
                <w:rFonts w:eastAsia="Verdana" w:cs="Verdana"/>
                <w:sz w:val="20"/>
                <w:szCs w:val="20"/>
              </w:rPr>
              <w:t>will encourage domestic production of low carbon liquid fuels (LCLF)</w:t>
            </w:r>
            <w:r w:rsidRPr="005E2084">
              <w:rPr>
                <w:rStyle w:val="normaltextrun"/>
                <w:rFonts w:eastAsia="Verdana" w:cs="Verdana"/>
                <w:sz w:val="20"/>
                <w:szCs w:val="20"/>
              </w:rPr>
              <w:t>.</w:t>
            </w:r>
          </w:p>
          <w:p w14:paraId="4C2C5791" w14:textId="2A4E1DEE" w:rsidR="004E3D60" w:rsidRPr="00B136E9" w:rsidRDefault="004E3D60" w:rsidP="004E3D60">
            <w:pPr>
              <w:spacing w:before="60" w:after="60" w:line="240" w:lineRule="auto"/>
              <w:rPr>
                <w:color w:val="000000" w:themeColor="text1"/>
              </w:rPr>
            </w:pPr>
            <w:r w:rsidRPr="005E2084">
              <w:rPr>
                <w:rStyle w:val="normaltextrun"/>
                <w:rFonts w:eastAsia="Verdana" w:cs="Verdana"/>
                <w:sz w:val="20"/>
                <w:szCs w:val="20"/>
              </w:rPr>
              <w:t>Grant funding under the FMA Innovation Fund continues to be available.</w:t>
            </w:r>
          </w:p>
        </w:tc>
      </w:tr>
      <w:tr w:rsidR="004E3D60" w:rsidRPr="006B6723" w14:paraId="1B05921E" w14:textId="537D9BE5" w:rsidTr="00AE3C42">
        <w:trPr>
          <w:trHeight w:val="547"/>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72D5C8D8" w14:textId="1DDFE296" w:rsidR="004E3D60" w:rsidRPr="006B6723" w:rsidRDefault="004E3D60" w:rsidP="004E3D60">
            <w:pPr>
              <w:spacing w:before="60" w:after="60" w:line="240" w:lineRule="auto"/>
              <w:jc w:val="center"/>
              <w:rPr>
                <w:rStyle w:val="normaltextrun"/>
                <w:rFonts w:eastAsia="Verdana" w:cs="Verdana"/>
                <w:b/>
                <w:bCs/>
                <w:sz w:val="20"/>
                <w:szCs w:val="20"/>
              </w:rPr>
            </w:pPr>
            <w:r w:rsidRPr="006B6723">
              <w:rPr>
                <w:sz w:val="20"/>
                <w:lang w:val="en-US"/>
              </w:rPr>
              <w:t>4.5</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0E86FC7C" w14:textId="428FDB68" w:rsidR="004E3D60" w:rsidRPr="006B6723" w:rsidRDefault="004E3D60" w:rsidP="004E3D60">
            <w:pPr>
              <w:spacing w:before="60" w:after="60" w:line="240" w:lineRule="auto"/>
              <w:rPr>
                <w:sz w:val="20"/>
              </w:rPr>
            </w:pPr>
            <w:r w:rsidRPr="006B6723">
              <w:rPr>
                <w:sz w:val="20"/>
              </w:rPr>
              <w:t>Embedding the WELCOME Framework principles into tourism industry practices, enhancing accessibility in aviation and increasing opportunities for people with disability to access national parks, beaches and play spaces through the $17.1 million investment in the Accessible Australia program.</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6B90D7D1" w14:textId="04F95AC8" w:rsidR="004E3D60" w:rsidRPr="006B6723" w:rsidRDefault="004E3D60" w:rsidP="004E3D60">
            <w:pPr>
              <w:spacing w:before="60" w:after="60" w:line="240" w:lineRule="auto"/>
              <w:rPr>
                <w:sz w:val="20"/>
              </w:rPr>
            </w:pPr>
            <w:r w:rsidRPr="006B6723">
              <w:rPr>
                <w:sz w:val="20"/>
              </w:rPr>
              <w:t>Austrade, Tourism Australia, Department of Health, Disability and Ageing, DITRDCSA</w:t>
            </w:r>
          </w:p>
        </w:tc>
        <w:tc>
          <w:tcPr>
            <w:tcW w:w="5167" w:type="dxa"/>
            <w:tcBorders>
              <w:top w:val="single" w:sz="6" w:space="0" w:color="auto"/>
              <w:left w:val="single" w:sz="6" w:space="0" w:color="auto"/>
              <w:bottom w:val="single" w:sz="6" w:space="0" w:color="auto"/>
              <w:right w:val="single" w:sz="6" w:space="0" w:color="auto"/>
            </w:tcBorders>
          </w:tcPr>
          <w:p w14:paraId="7CE51D24" w14:textId="311D210C" w:rsidR="004E3D60" w:rsidRPr="006B6723" w:rsidRDefault="004E3D60" w:rsidP="004E3D60">
            <w:pPr>
              <w:spacing w:before="60" w:after="60" w:line="240" w:lineRule="auto"/>
              <w:rPr>
                <w:rFonts w:eastAsia="Verdana" w:cs="Verdana"/>
                <w:sz w:val="20"/>
              </w:rPr>
            </w:pPr>
            <w:r w:rsidRPr="006B6723">
              <w:rPr>
                <w:rFonts w:eastAsia="Verdana" w:cs="Verdana"/>
                <w:sz w:val="20"/>
              </w:rPr>
              <w:t>Accessible Australia is a national program that helps make community spaces easier to use for people with disability. It provides funding to improve built spaces and natural areas like buildings, playgrounds, beaches, and parks.</w:t>
            </w:r>
          </w:p>
          <w:p w14:paraId="34D2256F" w14:textId="05C95ADD" w:rsidR="004E3D60" w:rsidRPr="006B6723" w:rsidRDefault="004E3D60" w:rsidP="004E3D60">
            <w:pPr>
              <w:spacing w:before="60" w:after="60" w:line="240" w:lineRule="auto"/>
              <w:rPr>
                <w:sz w:val="20"/>
              </w:rPr>
            </w:pPr>
            <w:r w:rsidRPr="006B6723">
              <w:rPr>
                <w:rFonts w:eastAsia="Verdana" w:cs="Verdana"/>
                <w:sz w:val="20"/>
              </w:rPr>
              <w:t>Tranche 1 of Accessible Australia is complete with Commonwealth funding committed to 29 accessible amenity projects across NSW, ACT, SA, WA and TAS.</w:t>
            </w:r>
          </w:p>
          <w:p w14:paraId="59868B6C" w14:textId="37EE1F68" w:rsidR="004E3D60" w:rsidRPr="006B6723" w:rsidRDefault="004E3D60" w:rsidP="004E3D60">
            <w:pPr>
              <w:spacing w:before="60" w:after="60" w:line="240" w:lineRule="auto"/>
              <w:rPr>
                <w:rFonts w:eastAsia="Verdana" w:cs="Verdana"/>
                <w:sz w:val="20"/>
              </w:rPr>
            </w:pPr>
            <w:r w:rsidRPr="006B6723">
              <w:rPr>
                <w:rFonts w:eastAsia="Verdana" w:cs="Verdana"/>
                <w:sz w:val="20"/>
              </w:rPr>
              <w:t>The Accessible Tourism Working Group (Austrade’s Office of Tourism and the Visitor Economy, Tourism Australia and States and Territories) met on 2 June 2026 to share information on accessible tourism initiatives, including updates on accessible tourism standards.</w:t>
            </w:r>
          </w:p>
        </w:tc>
        <w:tc>
          <w:tcPr>
            <w:tcW w:w="6837" w:type="dxa"/>
            <w:tcBorders>
              <w:top w:val="single" w:sz="6" w:space="0" w:color="auto"/>
              <w:left w:val="single" w:sz="6" w:space="0" w:color="auto"/>
              <w:bottom w:val="single" w:sz="6" w:space="0" w:color="auto"/>
              <w:right w:val="single" w:sz="6" w:space="0" w:color="auto"/>
            </w:tcBorders>
          </w:tcPr>
          <w:p w14:paraId="66232274" w14:textId="47194906" w:rsidR="004E3D60" w:rsidRDefault="004E3D60" w:rsidP="004E3D60">
            <w:pPr>
              <w:spacing w:before="60" w:after="60" w:line="240" w:lineRule="auto"/>
            </w:pPr>
            <w:r w:rsidRPr="006B6723">
              <w:rPr>
                <w:sz w:val="20"/>
              </w:rPr>
              <w:t>Public input on aviation disability standards will be invited through a consultation paper</w:t>
            </w:r>
            <w:r>
              <w:rPr>
                <w:sz w:val="20"/>
              </w:rPr>
              <w:t>.</w:t>
            </w:r>
          </w:p>
          <w:p w14:paraId="65480C0D" w14:textId="5F6B9EDC" w:rsidR="004E3D60" w:rsidRPr="006B6723" w:rsidRDefault="004E3D60" w:rsidP="004E3D60">
            <w:pPr>
              <w:spacing w:before="60" w:after="60" w:line="240" w:lineRule="auto"/>
              <w:rPr>
                <w:rFonts w:eastAsia="Verdana" w:cs="Verdana"/>
                <w:sz w:val="20"/>
              </w:rPr>
            </w:pPr>
            <w:r w:rsidRPr="006B6723">
              <w:rPr>
                <w:rFonts w:eastAsia="Verdana" w:cs="Verdana"/>
                <w:sz w:val="20"/>
              </w:rPr>
              <w:t>Reforms to public transport standards are currently under Government consideration.</w:t>
            </w:r>
          </w:p>
          <w:p w14:paraId="199F9AE2" w14:textId="77777777" w:rsidR="004E3D60" w:rsidRPr="006B6723" w:rsidRDefault="004E3D60" w:rsidP="004E3D60">
            <w:pPr>
              <w:spacing w:before="60" w:after="60" w:line="240" w:lineRule="auto"/>
              <w:rPr>
                <w:rFonts w:eastAsia="Verdana" w:cs="Verdana"/>
                <w:color w:val="000000" w:themeColor="text1"/>
                <w:sz w:val="20"/>
              </w:rPr>
            </w:pPr>
          </w:p>
        </w:tc>
      </w:tr>
      <w:tr w:rsidR="004E3D60" w:rsidRPr="006B6723" w14:paraId="2C0F9CF7" w14:textId="7BB9528C" w:rsidTr="00AE3C42">
        <w:trPr>
          <w:cnfStyle w:val="000000100000" w:firstRow="0" w:lastRow="0" w:firstColumn="0" w:lastColumn="0" w:oddVBand="0" w:evenVBand="0" w:oddHBand="1" w:evenHBand="0" w:firstRowFirstColumn="0" w:firstRowLastColumn="0" w:lastRowFirstColumn="0" w:lastRowLastColumn="0"/>
          <w:trHeight w:val="920"/>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0AD69A2A" w14:textId="310457C7" w:rsidR="004E3D60" w:rsidRPr="006B6723" w:rsidRDefault="004E3D60" w:rsidP="004E3D60">
            <w:pPr>
              <w:spacing w:before="60" w:after="60" w:line="240" w:lineRule="auto"/>
              <w:jc w:val="center"/>
              <w:rPr>
                <w:sz w:val="20"/>
                <w:lang w:val="en-US"/>
              </w:rPr>
            </w:pPr>
            <w:r w:rsidRPr="006B6723">
              <w:rPr>
                <w:sz w:val="20"/>
                <w:lang w:val="en-US"/>
              </w:rPr>
              <w:lastRenderedPageBreak/>
              <w:t>4.6</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65E4F4B4" w14:textId="28C17DD3" w:rsidR="004E3D60" w:rsidRPr="006B6723" w:rsidRDefault="004E3D60" w:rsidP="004E3D60">
            <w:pPr>
              <w:spacing w:before="60" w:after="60" w:line="240" w:lineRule="auto"/>
              <w:rPr>
                <w:sz w:val="20"/>
              </w:rPr>
            </w:pPr>
            <w:r w:rsidRPr="006B6723">
              <w:rPr>
                <w:sz w:val="20"/>
              </w:rPr>
              <w:t>Working across government on opportunities to adjust policy and program settings to increase First Nations peoples’ participation in the visitor economy; enhance First Nations tourism product and experiences; and improve data on First Nations tourism.</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1B8C871E" w14:textId="2092EABD" w:rsidR="004E3D60" w:rsidRPr="006B6723" w:rsidRDefault="004E3D60" w:rsidP="004E3D60">
            <w:pPr>
              <w:spacing w:before="60" w:after="60" w:line="240" w:lineRule="auto"/>
              <w:rPr>
                <w:sz w:val="20"/>
              </w:rPr>
            </w:pPr>
            <w:r w:rsidRPr="006B6723">
              <w:rPr>
                <w:sz w:val="20"/>
              </w:rPr>
              <w:t xml:space="preserve">Austrade </w:t>
            </w:r>
            <w:r w:rsidRPr="006B6723">
              <w:rPr>
                <w:i/>
                <w:iCs/>
                <w:sz w:val="20"/>
              </w:rPr>
              <w:t>(NIAA)</w:t>
            </w:r>
          </w:p>
        </w:tc>
        <w:tc>
          <w:tcPr>
            <w:tcW w:w="5167" w:type="dxa"/>
            <w:tcBorders>
              <w:top w:val="single" w:sz="6" w:space="0" w:color="auto"/>
              <w:left w:val="single" w:sz="6" w:space="0" w:color="auto"/>
              <w:bottom w:val="single" w:sz="6" w:space="0" w:color="auto"/>
              <w:right w:val="single" w:sz="6" w:space="0" w:color="auto"/>
            </w:tcBorders>
          </w:tcPr>
          <w:p w14:paraId="19796A05" w14:textId="1797D074" w:rsidR="004E3D60" w:rsidRPr="006B6723" w:rsidRDefault="004E3D60" w:rsidP="004E3D60">
            <w:pPr>
              <w:spacing w:before="60" w:after="60" w:line="240" w:lineRule="auto"/>
              <w:rPr>
                <w:rFonts w:eastAsia="Verdana" w:cs="Verdana"/>
                <w:sz w:val="20"/>
              </w:rPr>
            </w:pPr>
            <w:r w:rsidRPr="006B6723">
              <w:rPr>
                <w:rFonts w:eastAsia="Verdana" w:cs="Verdana"/>
                <w:sz w:val="20"/>
              </w:rPr>
              <w:t>Austrade’s Office of Tourism and the Visitor Economy has commissioned a First Nations Business Count project to help quantify the number of First Nations tourism businesses</w:t>
            </w:r>
            <w:r>
              <w:rPr>
                <w:rFonts w:eastAsia="Verdana" w:cs="Verdana"/>
                <w:sz w:val="20"/>
              </w:rPr>
              <w:t xml:space="preserve">, </w:t>
            </w:r>
            <w:r w:rsidRPr="005A0DB7">
              <w:rPr>
                <w:rFonts w:eastAsia="Verdana" w:cs="Verdana"/>
                <w:sz w:val="20"/>
              </w:rPr>
              <w:t xml:space="preserve">with </w:t>
            </w:r>
            <w:r>
              <w:rPr>
                <w:rFonts w:eastAsia="Verdana" w:cs="Verdana"/>
                <w:sz w:val="20"/>
              </w:rPr>
              <w:t xml:space="preserve">a </w:t>
            </w:r>
            <w:r w:rsidRPr="005A0DB7">
              <w:rPr>
                <w:rFonts w:eastAsia="Verdana" w:cs="Verdana"/>
                <w:sz w:val="20"/>
              </w:rPr>
              <w:t>contract signed in June 2026</w:t>
            </w:r>
            <w:r w:rsidRPr="006B6723">
              <w:rPr>
                <w:rFonts w:eastAsia="Verdana" w:cs="Verdana"/>
                <w:sz w:val="20"/>
              </w:rPr>
              <w:t>. This work is in collaboration with states and territories’ tourism organisations.</w:t>
            </w:r>
          </w:p>
        </w:tc>
        <w:tc>
          <w:tcPr>
            <w:tcW w:w="6837" w:type="dxa"/>
            <w:tcBorders>
              <w:top w:val="single" w:sz="6" w:space="0" w:color="auto"/>
              <w:left w:val="single" w:sz="6" w:space="0" w:color="auto"/>
              <w:bottom w:val="single" w:sz="6" w:space="0" w:color="auto"/>
              <w:right w:val="single" w:sz="6" w:space="0" w:color="auto"/>
            </w:tcBorders>
          </w:tcPr>
          <w:p w14:paraId="61E512D0" w14:textId="37FE3F3E" w:rsidR="004E3D60" w:rsidRPr="008619FB" w:rsidRDefault="004E3D60" w:rsidP="004E3D60">
            <w:pPr>
              <w:spacing w:before="60" w:after="60" w:line="240" w:lineRule="auto"/>
              <w:rPr>
                <w:sz w:val="20"/>
              </w:rPr>
            </w:pPr>
            <w:r w:rsidRPr="006B6723">
              <w:rPr>
                <w:rFonts w:eastAsia="Verdana" w:cs="Verdana"/>
                <w:sz w:val="20"/>
              </w:rPr>
              <w:t xml:space="preserve">Work on the First Nations Business Count </w:t>
            </w:r>
            <w:r w:rsidRPr="008619FB">
              <w:rPr>
                <w:sz w:val="20"/>
              </w:rPr>
              <w:t>project w</w:t>
            </w:r>
            <w:r w:rsidRPr="006B6723">
              <w:rPr>
                <w:sz w:val="20"/>
              </w:rPr>
              <w:t xml:space="preserve">ill </w:t>
            </w:r>
            <w:r w:rsidRPr="008619FB">
              <w:rPr>
                <w:sz w:val="20"/>
              </w:rPr>
              <w:t xml:space="preserve">commence with an initial meeting with the successful bidder, Painted Dog, occurring </w:t>
            </w:r>
            <w:r>
              <w:rPr>
                <w:sz w:val="20"/>
              </w:rPr>
              <w:t xml:space="preserve">in </w:t>
            </w:r>
            <w:r w:rsidRPr="008619FB">
              <w:rPr>
                <w:sz w:val="20"/>
              </w:rPr>
              <w:t>July 2026. The final report is anticipated be provided to Austrade in early 2027.</w:t>
            </w:r>
          </w:p>
        </w:tc>
      </w:tr>
      <w:tr w:rsidR="004E3D60" w:rsidRPr="006B6723" w14:paraId="6AC4EDAC" w14:textId="2ABA073B" w:rsidTr="00AE3C42">
        <w:trPr>
          <w:trHeight w:val="552"/>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0BA59DC7" w14:textId="0EA84B7B" w:rsidR="004E3D60" w:rsidRPr="006B6723" w:rsidRDefault="004E3D60" w:rsidP="004E3D60">
            <w:pPr>
              <w:spacing w:before="60" w:after="60" w:line="240" w:lineRule="auto"/>
              <w:jc w:val="center"/>
              <w:rPr>
                <w:b/>
                <w:bCs/>
                <w:sz w:val="20"/>
                <w:lang w:val="en-US"/>
              </w:rPr>
            </w:pPr>
            <w:r w:rsidRPr="006B6723">
              <w:rPr>
                <w:sz w:val="20"/>
                <w:lang w:val="en-US"/>
              </w:rPr>
              <w:t>5.1</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6BA29210" w14:textId="7ADC3230" w:rsidR="004E3D60" w:rsidRPr="006B6723" w:rsidRDefault="004E3D60" w:rsidP="004E3D60">
            <w:pPr>
              <w:spacing w:before="60" w:after="60" w:line="240" w:lineRule="auto"/>
              <w:rPr>
                <w:sz w:val="20"/>
              </w:rPr>
            </w:pPr>
            <w:r w:rsidRPr="006B6723">
              <w:rPr>
                <w:sz w:val="20"/>
              </w:rPr>
              <w:t>Continue to modernise the Government’s official tourism statistics, including by adopting new data sources.</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56CA678C" w14:textId="65C8D0C9" w:rsidR="004E3D60" w:rsidRPr="006B6723" w:rsidRDefault="004E3D60" w:rsidP="004E3D60">
            <w:pPr>
              <w:spacing w:before="60" w:after="60" w:line="240" w:lineRule="auto"/>
              <w:rPr>
                <w:sz w:val="20"/>
              </w:rPr>
            </w:pPr>
            <w:r w:rsidRPr="006B6723">
              <w:rPr>
                <w:sz w:val="20"/>
              </w:rPr>
              <w:t>Austrade</w:t>
            </w:r>
          </w:p>
        </w:tc>
        <w:tc>
          <w:tcPr>
            <w:tcW w:w="5167" w:type="dxa"/>
            <w:tcBorders>
              <w:top w:val="single" w:sz="6" w:space="0" w:color="auto"/>
              <w:left w:val="single" w:sz="6" w:space="0" w:color="auto"/>
              <w:bottom w:val="single" w:sz="6" w:space="0" w:color="auto"/>
              <w:right w:val="single" w:sz="6" w:space="0" w:color="auto"/>
            </w:tcBorders>
          </w:tcPr>
          <w:p w14:paraId="0033E955" w14:textId="22E052CB" w:rsidR="004E3D60" w:rsidRPr="006B6723" w:rsidRDefault="004E3D60" w:rsidP="004E3D60">
            <w:pPr>
              <w:spacing w:before="60" w:after="60" w:line="240" w:lineRule="auto"/>
              <w:rPr>
                <w:rFonts w:eastAsia="Verdana" w:cs="Verdana"/>
                <w:color w:val="000000" w:themeColor="text1"/>
                <w:sz w:val="20"/>
              </w:rPr>
            </w:pPr>
            <w:r w:rsidRPr="006B6723">
              <w:rPr>
                <w:rFonts w:eastAsia="Verdana" w:cs="Verdana"/>
                <w:color w:val="000000" w:themeColor="text1"/>
                <w:sz w:val="20"/>
              </w:rPr>
              <w:t>Each month, Tourism Research Australia publishes mobility data for tourism at the national, state and regional levels.</w:t>
            </w:r>
          </w:p>
          <w:p w14:paraId="628B1F78" w14:textId="55579BD8" w:rsidR="004E3D60" w:rsidRPr="006B6723" w:rsidRDefault="004E3D60" w:rsidP="004E3D60">
            <w:pPr>
              <w:spacing w:before="60" w:after="60" w:line="240" w:lineRule="auto"/>
              <w:rPr>
                <w:rFonts w:eastAsia="Verdana" w:cs="Verdana"/>
                <w:color w:val="000000" w:themeColor="text1"/>
                <w:sz w:val="20"/>
              </w:rPr>
            </w:pPr>
            <w:r w:rsidRPr="006B6723">
              <w:rPr>
                <w:rFonts w:eastAsia="Verdana" w:cs="Verdana"/>
                <w:color w:val="000000" w:themeColor="text1"/>
                <w:sz w:val="20"/>
              </w:rPr>
              <w:t xml:space="preserve">New data sources and methodological approaches continue to be assessed or integrated into TRA statistical publications including Telstra mobility data for tourism, CommBank IQ financial transactions data, improved Domestic Tourism Statistics (DoTS) survey methodology and backcast data to ensure time series data is preserved. </w:t>
            </w:r>
          </w:p>
          <w:p w14:paraId="3512F553" w14:textId="52DA57DE" w:rsidR="004E3D60" w:rsidRPr="006B6723" w:rsidRDefault="004E3D60" w:rsidP="004E3D60">
            <w:pPr>
              <w:spacing w:before="60" w:after="60" w:line="240" w:lineRule="auto"/>
              <w:rPr>
                <w:rFonts w:eastAsia="Verdana" w:cs="Verdana"/>
                <w:color w:val="000000" w:themeColor="text1"/>
                <w:sz w:val="20"/>
              </w:rPr>
            </w:pPr>
            <w:r w:rsidRPr="006B6723">
              <w:rPr>
                <w:rFonts w:eastAsia="Verdana" w:cs="Verdana"/>
                <w:color w:val="000000" w:themeColor="text1"/>
                <w:sz w:val="20"/>
              </w:rPr>
              <w:t xml:space="preserve">The </w:t>
            </w:r>
            <w:hyperlink r:id="rId19" w:history="1">
              <w:r w:rsidRPr="008D1059">
                <w:rPr>
                  <w:rStyle w:val="Hyperlink"/>
                  <w:rFonts w:eastAsia="Verdana" w:cs="Verdana"/>
                  <w:sz w:val="20"/>
                </w:rPr>
                <w:t>Caravan and Camping</w:t>
              </w:r>
            </w:hyperlink>
            <w:r w:rsidRPr="006B6723">
              <w:rPr>
                <w:rFonts w:eastAsia="Verdana" w:cs="Verdana"/>
                <w:color w:val="000000" w:themeColor="text1"/>
                <w:sz w:val="20"/>
              </w:rPr>
              <w:t xml:space="preserve"> and</w:t>
            </w:r>
            <w:r w:rsidRPr="00D6535E">
              <w:rPr>
                <w:rFonts w:eastAsia="Verdana" w:cs="Verdana"/>
                <w:color w:val="000000" w:themeColor="text1"/>
                <w:sz w:val="20"/>
              </w:rPr>
              <w:t xml:space="preserve"> </w:t>
            </w:r>
            <w:hyperlink r:id="rId20" w:history="1">
              <w:r w:rsidRPr="00B24B9B">
                <w:rPr>
                  <w:rStyle w:val="Hyperlink"/>
                  <w:rFonts w:eastAsia="Verdana" w:cs="Verdana"/>
                  <w:sz w:val="20"/>
                </w:rPr>
                <w:t>Business Events report</w:t>
              </w:r>
            </w:hyperlink>
            <w:r w:rsidRPr="006B6723">
              <w:rPr>
                <w:rFonts w:eastAsia="Verdana" w:cs="Verdana"/>
                <w:color w:val="000000" w:themeColor="text1"/>
                <w:sz w:val="20"/>
              </w:rPr>
              <w:t xml:space="preserve"> for 2025 were released through the TRA website interactive dashboards.    </w:t>
            </w:r>
          </w:p>
          <w:p w14:paraId="0136F04E" w14:textId="1CB3308D" w:rsidR="004E3D60" w:rsidRDefault="004E3D60" w:rsidP="004E3D60">
            <w:pPr>
              <w:spacing w:before="60" w:after="60" w:line="240" w:lineRule="auto"/>
              <w:rPr>
                <w:rFonts w:eastAsia="Verdana" w:cs="Verdana"/>
                <w:color w:val="000000" w:themeColor="text1"/>
                <w:sz w:val="20"/>
              </w:rPr>
            </w:pPr>
            <w:r w:rsidRPr="006B6723">
              <w:rPr>
                <w:rFonts w:eastAsia="Verdana" w:cs="Verdana"/>
                <w:color w:val="000000" w:themeColor="text1"/>
                <w:sz w:val="20"/>
              </w:rPr>
              <w:t xml:space="preserve">The </w:t>
            </w:r>
            <w:hyperlink r:id="rId21" w:history="1">
              <w:r w:rsidRPr="004B40F5">
                <w:rPr>
                  <w:rStyle w:val="Hyperlink"/>
                  <w:rFonts w:eastAsia="Verdana" w:cs="Verdana"/>
                  <w:sz w:val="20"/>
                </w:rPr>
                <w:t>Australian Sustainable Tourism Indicators (ASTI) dashboard</w:t>
              </w:r>
            </w:hyperlink>
            <w:r w:rsidRPr="006B6723">
              <w:rPr>
                <w:rFonts w:eastAsia="Verdana" w:cs="Verdana"/>
                <w:color w:val="000000" w:themeColor="text1"/>
                <w:sz w:val="20"/>
              </w:rPr>
              <w:t xml:space="preserve"> was enhanced with several new indicators, along with the enhancement of existing indicators with more granular data.</w:t>
            </w:r>
          </w:p>
          <w:p w14:paraId="6966761C" w14:textId="57442464" w:rsidR="004E3D60" w:rsidRPr="00CD2EA0" w:rsidRDefault="004E3D60" w:rsidP="004E3D60">
            <w:pPr>
              <w:spacing w:before="60" w:after="60" w:line="240" w:lineRule="auto"/>
              <w:rPr>
                <w:rFonts w:eastAsia="Verdana" w:cs="Verdana"/>
                <w:sz w:val="20"/>
              </w:rPr>
            </w:pPr>
            <w:r w:rsidRPr="00F919BE">
              <w:rPr>
                <w:rFonts w:eastAsia="Verdana" w:cs="Verdana"/>
                <w:sz w:val="20"/>
              </w:rPr>
              <w:t xml:space="preserve">TRA have developed an updated sub-national </w:t>
            </w:r>
            <w:hyperlink r:id="rId22" w:history="1">
              <w:r w:rsidRPr="00B057BA">
                <w:rPr>
                  <w:rStyle w:val="Hyperlink"/>
                  <w:rFonts w:eastAsia="Verdana" w:cs="Verdana"/>
                  <w:sz w:val="20"/>
                </w:rPr>
                <w:t>tourism satellite account model</w:t>
              </w:r>
            </w:hyperlink>
            <w:r w:rsidRPr="00F919BE">
              <w:rPr>
                <w:rFonts w:eastAsia="Verdana" w:cs="Verdana"/>
                <w:sz w:val="20"/>
              </w:rPr>
              <w:t xml:space="preserve">, delivering official estimates of tourism’s direct and indirect economic contribution at the </w:t>
            </w:r>
            <w:hyperlink r:id="rId23" w:history="1">
              <w:r w:rsidRPr="00076683">
                <w:rPr>
                  <w:rStyle w:val="Hyperlink"/>
                  <w:rFonts w:eastAsia="Verdana" w:cs="Verdana"/>
                  <w:sz w:val="20"/>
                </w:rPr>
                <w:t>state and territory</w:t>
              </w:r>
            </w:hyperlink>
            <w:r w:rsidRPr="00F919BE">
              <w:rPr>
                <w:rFonts w:eastAsia="Verdana" w:cs="Verdana"/>
                <w:sz w:val="20"/>
              </w:rPr>
              <w:t xml:space="preserve">, and </w:t>
            </w:r>
            <w:hyperlink r:id="rId24" w:history="1">
              <w:r w:rsidRPr="00351842">
                <w:rPr>
                  <w:rStyle w:val="Hyperlink"/>
                  <w:rFonts w:eastAsia="Verdana" w:cs="Verdana"/>
                  <w:sz w:val="20"/>
                </w:rPr>
                <w:t>tourism region</w:t>
              </w:r>
            </w:hyperlink>
            <w:r w:rsidRPr="00F919BE">
              <w:rPr>
                <w:rFonts w:eastAsia="Verdana" w:cs="Verdana"/>
                <w:sz w:val="20"/>
              </w:rPr>
              <w:t xml:space="preserve"> levels. The new model represents a significant improvement on the previous State and Regional Tourism Satellite Account models by incorporating enhanced data sources, updated methodologies and a more robust small-area estimation approach, resulting in more accurate, granular and policy-relevant measures of tourism’s economic impact across Australia.</w:t>
            </w:r>
          </w:p>
        </w:tc>
        <w:tc>
          <w:tcPr>
            <w:tcW w:w="6837" w:type="dxa"/>
            <w:tcBorders>
              <w:top w:val="single" w:sz="6" w:space="0" w:color="auto"/>
              <w:left w:val="single" w:sz="6" w:space="0" w:color="auto"/>
              <w:bottom w:val="single" w:sz="6" w:space="0" w:color="auto"/>
              <w:right w:val="single" w:sz="6" w:space="0" w:color="auto"/>
            </w:tcBorders>
          </w:tcPr>
          <w:p w14:paraId="4303D96D" w14:textId="77777777" w:rsidR="004E3D60" w:rsidRPr="006B6723" w:rsidRDefault="004E3D60" w:rsidP="004E3D60">
            <w:pPr>
              <w:spacing w:before="60" w:after="60" w:line="240" w:lineRule="auto"/>
              <w:rPr>
                <w:rFonts w:eastAsia="Verdana" w:cs="Verdana"/>
                <w:sz w:val="20"/>
              </w:rPr>
            </w:pPr>
            <w:r w:rsidRPr="006B6723">
              <w:rPr>
                <w:rFonts w:eastAsia="Verdana" w:cs="Verdana"/>
                <w:sz w:val="20"/>
              </w:rPr>
              <w:t>TRA will continue its evaluation and development of new and integrated data sources, including mobility data and other innovative data sources, to strengthen regional insights and support more timely, evidence-based decision-making.</w:t>
            </w:r>
          </w:p>
          <w:p w14:paraId="1ACDF88D" w14:textId="422A7749" w:rsidR="004E3D60" w:rsidRPr="00996691" w:rsidRDefault="004E3D60" w:rsidP="004E3D60">
            <w:pPr>
              <w:spacing w:before="60" w:after="60" w:line="240" w:lineRule="auto"/>
              <w:rPr>
                <w:rFonts w:eastAsia="Verdana" w:cs="Verdana"/>
                <w:sz w:val="20"/>
              </w:rPr>
            </w:pPr>
            <w:r w:rsidRPr="00F919BE">
              <w:rPr>
                <w:rFonts w:eastAsia="Verdana" w:cs="Verdana"/>
                <w:sz w:val="20"/>
              </w:rPr>
              <w:t>Results from the sub-national tourism satellite account model will be published on 28 July 2026.</w:t>
            </w:r>
          </w:p>
        </w:tc>
      </w:tr>
      <w:tr w:rsidR="004E3D60" w:rsidRPr="006B6723" w14:paraId="1532403E" w14:textId="57AA9A84" w:rsidTr="00AE3C42">
        <w:trPr>
          <w:cnfStyle w:val="000000100000" w:firstRow="0" w:lastRow="0" w:firstColumn="0" w:lastColumn="0" w:oddVBand="0" w:evenVBand="0" w:oddHBand="1" w:evenHBand="0" w:firstRowFirstColumn="0" w:firstRowLastColumn="0" w:lastRowFirstColumn="0" w:lastRowLastColumn="0"/>
          <w:trHeight w:val="625"/>
        </w:trPr>
        <w:tc>
          <w:tcPr>
            <w:tcW w:w="971" w:type="dxa"/>
            <w:tcBorders>
              <w:top w:val="single" w:sz="6" w:space="0" w:color="auto"/>
              <w:left w:val="single" w:sz="6" w:space="0" w:color="auto"/>
              <w:bottom w:val="single" w:sz="6" w:space="0" w:color="auto"/>
              <w:right w:val="single" w:sz="6" w:space="0" w:color="auto"/>
            </w:tcBorders>
            <w:tcMar>
              <w:left w:w="105" w:type="dxa"/>
              <w:right w:w="105" w:type="dxa"/>
            </w:tcMar>
          </w:tcPr>
          <w:p w14:paraId="6C1B60E3" w14:textId="69646D85" w:rsidR="004E3D60" w:rsidRPr="006B6723" w:rsidRDefault="004E3D60" w:rsidP="004E3D60">
            <w:pPr>
              <w:spacing w:before="60" w:after="60" w:line="240" w:lineRule="auto"/>
              <w:jc w:val="center"/>
              <w:rPr>
                <w:b/>
                <w:bCs/>
                <w:sz w:val="20"/>
                <w:lang w:val="en-US"/>
              </w:rPr>
            </w:pPr>
            <w:r w:rsidRPr="006B6723">
              <w:rPr>
                <w:sz w:val="20"/>
                <w:lang w:val="en-US"/>
              </w:rPr>
              <w:t>5.2</w:t>
            </w:r>
          </w:p>
        </w:tc>
        <w:tc>
          <w:tcPr>
            <w:tcW w:w="6259" w:type="dxa"/>
            <w:tcBorders>
              <w:top w:val="single" w:sz="6" w:space="0" w:color="auto"/>
              <w:left w:val="single" w:sz="6" w:space="0" w:color="auto"/>
              <w:bottom w:val="single" w:sz="6" w:space="0" w:color="auto"/>
              <w:right w:val="single" w:sz="6" w:space="0" w:color="auto"/>
            </w:tcBorders>
            <w:tcMar>
              <w:left w:w="105" w:type="dxa"/>
              <w:right w:w="105" w:type="dxa"/>
            </w:tcMar>
          </w:tcPr>
          <w:p w14:paraId="7160DD2C" w14:textId="1C07F2AF" w:rsidR="004E3D60" w:rsidRPr="006B6723" w:rsidRDefault="004E3D60" w:rsidP="004E3D60">
            <w:pPr>
              <w:spacing w:before="60" w:after="60" w:line="240" w:lineRule="auto"/>
              <w:rPr>
                <w:sz w:val="20"/>
              </w:rPr>
            </w:pPr>
            <w:r w:rsidRPr="006B6723">
              <w:rPr>
                <w:sz w:val="20"/>
              </w:rPr>
              <w:t>Deliver research and insights that are focused, relevant and based on priorities informed by consultation with stakeholders.</w:t>
            </w:r>
          </w:p>
        </w:tc>
        <w:tc>
          <w:tcPr>
            <w:tcW w:w="1462" w:type="dxa"/>
            <w:tcBorders>
              <w:top w:val="single" w:sz="6" w:space="0" w:color="auto"/>
              <w:left w:val="single" w:sz="6" w:space="0" w:color="auto"/>
              <w:bottom w:val="single" w:sz="6" w:space="0" w:color="auto"/>
              <w:right w:val="single" w:sz="6" w:space="0" w:color="auto"/>
            </w:tcBorders>
            <w:tcMar>
              <w:left w:w="105" w:type="dxa"/>
              <w:right w:w="105" w:type="dxa"/>
            </w:tcMar>
          </w:tcPr>
          <w:p w14:paraId="2C11D2CD" w14:textId="523C2E50" w:rsidR="004E3D60" w:rsidRPr="006B6723" w:rsidRDefault="004E3D60" w:rsidP="004E3D60">
            <w:pPr>
              <w:spacing w:before="60" w:after="60" w:line="240" w:lineRule="auto"/>
              <w:rPr>
                <w:sz w:val="20"/>
              </w:rPr>
            </w:pPr>
            <w:r w:rsidRPr="006B6723">
              <w:rPr>
                <w:sz w:val="20"/>
              </w:rPr>
              <w:t>Austrade, ABS, Tourism Australia</w:t>
            </w:r>
          </w:p>
        </w:tc>
        <w:tc>
          <w:tcPr>
            <w:tcW w:w="5167" w:type="dxa"/>
            <w:tcBorders>
              <w:top w:val="single" w:sz="6" w:space="0" w:color="auto"/>
              <w:left w:val="single" w:sz="6" w:space="0" w:color="auto"/>
              <w:bottom w:val="single" w:sz="6" w:space="0" w:color="auto"/>
              <w:right w:val="single" w:sz="6" w:space="0" w:color="auto"/>
            </w:tcBorders>
          </w:tcPr>
          <w:p w14:paraId="71FF0857" w14:textId="73E9FA09" w:rsidR="004E3D60" w:rsidRPr="006B6723" w:rsidRDefault="004E3D60" w:rsidP="004E3D60">
            <w:pPr>
              <w:spacing w:before="60" w:after="60" w:line="240" w:lineRule="auto"/>
              <w:rPr>
                <w:rFonts w:eastAsia="Verdana" w:cs="Verdana"/>
                <w:color w:val="000000" w:themeColor="text1"/>
                <w:sz w:val="20"/>
              </w:rPr>
            </w:pPr>
            <w:r w:rsidRPr="006B6723">
              <w:rPr>
                <w:rFonts w:eastAsia="Verdana" w:cs="Verdana"/>
                <w:color w:val="000000" w:themeColor="text1"/>
                <w:sz w:val="20"/>
              </w:rPr>
              <w:t xml:space="preserve">The ABS continues to deliver high-quality statistics that inform the visitor economy, including the annual </w:t>
            </w:r>
            <w:hyperlink r:id="rId25" w:history="1">
              <w:r w:rsidRPr="00687C01">
                <w:rPr>
                  <w:rStyle w:val="Hyperlink"/>
                  <w:rFonts w:eastAsia="Verdana" w:cs="Verdana"/>
                  <w:sz w:val="20"/>
                </w:rPr>
                <w:t>Tourism Satellite Account</w:t>
              </w:r>
            </w:hyperlink>
            <w:r w:rsidRPr="006B6723">
              <w:rPr>
                <w:rFonts w:eastAsia="Verdana" w:cs="Verdana"/>
                <w:color w:val="000000" w:themeColor="text1"/>
                <w:sz w:val="20"/>
              </w:rPr>
              <w:t xml:space="preserve">, </w:t>
            </w:r>
            <w:hyperlink r:id="rId26" w:history="1">
              <w:r w:rsidRPr="00902456">
                <w:rPr>
                  <w:rStyle w:val="Hyperlink"/>
                  <w:rFonts w:eastAsia="Verdana" w:cs="Verdana"/>
                  <w:sz w:val="20"/>
                </w:rPr>
                <w:t>Quarterly Tourism Labour Statistics</w:t>
              </w:r>
            </w:hyperlink>
            <w:r w:rsidRPr="006B6723">
              <w:rPr>
                <w:rFonts w:eastAsia="Verdana" w:cs="Verdana"/>
                <w:color w:val="000000" w:themeColor="text1"/>
                <w:sz w:val="20"/>
              </w:rPr>
              <w:t xml:space="preserve"> and monthly </w:t>
            </w:r>
            <w:hyperlink r:id="rId27" w:history="1">
              <w:r w:rsidRPr="008160CA">
                <w:rPr>
                  <w:rStyle w:val="Hyperlink"/>
                  <w:rFonts w:eastAsia="Verdana" w:cs="Verdana"/>
                  <w:sz w:val="20"/>
                </w:rPr>
                <w:t>Overseas Arrivals and Departure statistics</w:t>
              </w:r>
            </w:hyperlink>
            <w:r w:rsidRPr="006B6723">
              <w:rPr>
                <w:rFonts w:eastAsia="Verdana" w:cs="Verdana"/>
                <w:color w:val="000000" w:themeColor="text1"/>
                <w:sz w:val="20"/>
              </w:rPr>
              <w:t>.</w:t>
            </w:r>
          </w:p>
          <w:p w14:paraId="6C7F7894" w14:textId="1E17A65A" w:rsidR="004E3D60" w:rsidRPr="006B6723" w:rsidRDefault="004E3D60" w:rsidP="004E3D60">
            <w:pPr>
              <w:spacing w:before="60" w:after="60" w:line="240" w:lineRule="auto"/>
              <w:rPr>
                <w:rFonts w:eastAsia="Verdana" w:cs="Verdana"/>
                <w:color w:val="000000" w:themeColor="text1"/>
                <w:sz w:val="20"/>
              </w:rPr>
            </w:pPr>
            <w:r w:rsidRPr="006B6723">
              <w:rPr>
                <w:rFonts w:eastAsia="Verdana" w:cs="Verdana"/>
                <w:color w:val="000000" w:themeColor="text1"/>
                <w:sz w:val="20"/>
              </w:rPr>
              <w:t xml:space="preserve">In the last 7 months, TRA have delivered the </w:t>
            </w:r>
            <w:hyperlink r:id="rId28" w:anchor="ref1" w:history="1">
              <w:r w:rsidRPr="002D626B">
                <w:rPr>
                  <w:rStyle w:val="Hyperlink"/>
                  <w:rFonts w:eastAsia="Verdana" w:cs="Verdana"/>
                  <w:sz w:val="20"/>
                </w:rPr>
                <w:t>Tourism Forecasts for Australia 2025-2030 Report</w:t>
              </w:r>
            </w:hyperlink>
            <w:r w:rsidRPr="006B6723">
              <w:rPr>
                <w:rFonts w:eastAsia="Verdana" w:cs="Verdana"/>
                <w:color w:val="000000" w:themeColor="text1"/>
                <w:sz w:val="20"/>
              </w:rPr>
              <w:t xml:space="preserve">, the </w:t>
            </w:r>
            <w:hyperlink r:id="rId29" w:history="1">
              <w:r w:rsidRPr="00F90625">
                <w:rPr>
                  <w:rStyle w:val="Hyperlink"/>
                  <w:rFonts w:eastAsia="Verdana" w:cs="Verdana"/>
                  <w:sz w:val="20"/>
                </w:rPr>
                <w:t>National Tourism Satellite Account 2024-25 publication</w:t>
              </w:r>
            </w:hyperlink>
            <w:r w:rsidRPr="006B6723">
              <w:rPr>
                <w:rFonts w:eastAsia="Verdana" w:cs="Verdana"/>
                <w:color w:val="000000" w:themeColor="text1"/>
                <w:sz w:val="20"/>
              </w:rPr>
              <w:t xml:space="preserve">, </w:t>
            </w:r>
            <w:hyperlink r:id="rId30" w:history="1">
              <w:r w:rsidRPr="00B21D5E">
                <w:rPr>
                  <w:rStyle w:val="Hyperlink"/>
                  <w:rFonts w:eastAsia="Verdana" w:cs="Verdana"/>
                  <w:sz w:val="20"/>
                </w:rPr>
                <w:t>6 Agritourism in Australia Activity Factsheets</w:t>
              </w:r>
            </w:hyperlink>
            <w:r w:rsidRPr="006B6723">
              <w:rPr>
                <w:rFonts w:eastAsia="Verdana" w:cs="Verdana"/>
                <w:color w:val="000000" w:themeColor="text1"/>
                <w:sz w:val="20"/>
              </w:rPr>
              <w:t xml:space="preserve">, </w:t>
            </w:r>
            <w:hyperlink r:id="rId31" w:history="1">
              <w:r w:rsidRPr="00366C1F">
                <w:rPr>
                  <w:rStyle w:val="Hyperlink"/>
                  <w:rFonts w:eastAsia="Verdana" w:cs="Verdana"/>
                  <w:sz w:val="20"/>
                </w:rPr>
                <w:t xml:space="preserve">Tourism businesses in </w:t>
              </w:r>
              <w:r w:rsidRPr="00366C1F">
                <w:rPr>
                  <w:rStyle w:val="Hyperlink"/>
                  <w:rFonts w:eastAsia="Verdana" w:cs="Verdana"/>
                  <w:sz w:val="20"/>
                </w:rPr>
                <w:lastRenderedPageBreak/>
                <w:t>Australia 2025 Report</w:t>
              </w:r>
            </w:hyperlink>
            <w:r w:rsidRPr="006B6723">
              <w:rPr>
                <w:rFonts w:eastAsia="Verdana" w:cs="Verdana"/>
                <w:color w:val="000000" w:themeColor="text1"/>
                <w:sz w:val="20"/>
              </w:rPr>
              <w:t xml:space="preserve">, </w:t>
            </w:r>
            <w:hyperlink r:id="rId32" w:history="1">
              <w:r w:rsidRPr="00960734">
                <w:rPr>
                  <w:rStyle w:val="Hyperlink"/>
                  <w:rFonts w:eastAsia="Verdana" w:cs="Verdana"/>
                  <w:sz w:val="20"/>
                </w:rPr>
                <w:t>20 international market profiles</w:t>
              </w:r>
            </w:hyperlink>
            <w:r w:rsidRPr="006B6723">
              <w:rPr>
                <w:rFonts w:eastAsia="Verdana" w:cs="Verdana"/>
                <w:color w:val="000000" w:themeColor="text1"/>
                <w:sz w:val="20"/>
              </w:rPr>
              <w:t xml:space="preserve">, and the </w:t>
            </w:r>
            <w:hyperlink r:id="rId33" w:history="1">
              <w:r w:rsidRPr="00E16A6F">
                <w:rPr>
                  <w:rStyle w:val="Hyperlink"/>
                  <w:rFonts w:eastAsia="Verdana" w:cs="Verdana"/>
                  <w:sz w:val="20"/>
                </w:rPr>
                <w:t>quarterly tourism labour statistics for 2025</w:t>
              </w:r>
            </w:hyperlink>
            <w:r w:rsidRPr="006B6723">
              <w:rPr>
                <w:rFonts w:eastAsia="Verdana" w:cs="Verdana"/>
                <w:color w:val="000000" w:themeColor="text1"/>
                <w:sz w:val="20"/>
              </w:rPr>
              <w:t>.</w:t>
            </w:r>
            <w:r w:rsidRPr="373D2F29">
              <w:rPr>
                <w:rFonts w:eastAsia="Verdana" w:cs="Verdana"/>
                <w:color w:val="000000" w:themeColor="text1"/>
                <w:sz w:val="20"/>
              </w:rPr>
              <w:t xml:space="preserve"> </w:t>
            </w:r>
          </w:p>
          <w:p w14:paraId="6122406C" w14:textId="1C91454A" w:rsidR="004E3D60" w:rsidRPr="006B6723" w:rsidRDefault="004E3D60" w:rsidP="004E3D60">
            <w:pPr>
              <w:spacing w:before="60" w:after="60" w:line="240" w:lineRule="auto"/>
              <w:rPr>
                <w:rFonts w:eastAsia="Verdana" w:cs="Verdana"/>
                <w:color w:val="000000" w:themeColor="text1"/>
                <w:sz w:val="20"/>
              </w:rPr>
            </w:pPr>
            <w:r w:rsidRPr="006B6723">
              <w:rPr>
                <w:rFonts w:eastAsia="Verdana" w:cs="Verdana"/>
                <w:color w:val="000000" w:themeColor="text1"/>
                <w:sz w:val="20"/>
              </w:rPr>
              <w:t>Tourism Australia has a suite of data and insights available on its website to support the visitor economy.</w:t>
            </w:r>
          </w:p>
        </w:tc>
        <w:tc>
          <w:tcPr>
            <w:tcW w:w="6837" w:type="dxa"/>
            <w:tcBorders>
              <w:top w:val="single" w:sz="6" w:space="0" w:color="auto"/>
              <w:left w:val="single" w:sz="6" w:space="0" w:color="auto"/>
              <w:bottom w:val="single" w:sz="6" w:space="0" w:color="auto"/>
              <w:right w:val="single" w:sz="6" w:space="0" w:color="auto"/>
            </w:tcBorders>
          </w:tcPr>
          <w:p w14:paraId="755E54D2" w14:textId="45226F6A" w:rsidR="004E3D60" w:rsidRPr="006B6723" w:rsidRDefault="004E3D60" w:rsidP="004E3D60">
            <w:pPr>
              <w:spacing w:before="60" w:after="60" w:line="240" w:lineRule="auto"/>
              <w:rPr>
                <w:rFonts w:eastAsia="Verdana" w:cs="Verdana"/>
                <w:color w:val="000000" w:themeColor="text1"/>
                <w:sz w:val="20"/>
              </w:rPr>
            </w:pPr>
            <w:r w:rsidRPr="006B6723">
              <w:rPr>
                <w:rFonts w:eastAsia="Verdana" w:cs="Verdana"/>
                <w:color w:val="000000" w:themeColor="text1"/>
                <w:sz w:val="20"/>
              </w:rPr>
              <w:lastRenderedPageBreak/>
              <w:t>TRA will continue making available relevant data on its website to support both industry and government stakeholders.</w:t>
            </w:r>
          </w:p>
          <w:p w14:paraId="0A162D07" w14:textId="093E7735" w:rsidR="004E3D60" w:rsidRPr="006B6723" w:rsidRDefault="004E3D60" w:rsidP="004E3D60">
            <w:pPr>
              <w:spacing w:before="60" w:after="60" w:line="240" w:lineRule="auto"/>
              <w:rPr>
                <w:rFonts w:eastAsia="Verdana" w:cs="Verdana"/>
                <w:color w:val="000000" w:themeColor="text1"/>
                <w:sz w:val="20"/>
              </w:rPr>
            </w:pPr>
            <w:r w:rsidRPr="006B6723">
              <w:rPr>
                <w:rFonts w:eastAsia="Verdana" w:cs="Verdana"/>
                <w:color w:val="000000" w:themeColor="text1"/>
                <w:sz w:val="20"/>
              </w:rPr>
              <w:t xml:space="preserve">Tourism Australia is working with </w:t>
            </w:r>
            <w:r w:rsidRPr="373D2F29">
              <w:rPr>
                <w:rFonts w:eastAsia="Verdana" w:cs="Verdana"/>
                <w:color w:val="000000" w:themeColor="text1"/>
                <w:sz w:val="20"/>
              </w:rPr>
              <w:t>the</w:t>
            </w:r>
            <w:r w:rsidRPr="006B6723">
              <w:rPr>
                <w:rFonts w:eastAsia="Verdana" w:cs="Verdana"/>
                <w:color w:val="000000" w:themeColor="text1"/>
                <w:sz w:val="20"/>
              </w:rPr>
              <w:t xml:space="preserve"> Office of Tourism and the Visitor Economy, state and territory tourism organisations, and industry on the development of an Agribusiness Tracker around on farm agritourism experiences for launch at the Australian Regional Tourism Convention in October 2026.</w:t>
            </w:r>
          </w:p>
          <w:p w14:paraId="7A0E647E" w14:textId="0AA504B3" w:rsidR="004E3D60" w:rsidRPr="006B6723" w:rsidRDefault="004E3D60" w:rsidP="004E3D60">
            <w:pPr>
              <w:spacing w:before="60" w:after="60" w:line="240" w:lineRule="auto"/>
              <w:rPr>
                <w:rFonts w:eastAsia="Verdana" w:cs="Verdana"/>
                <w:color w:val="000000" w:themeColor="text1"/>
                <w:sz w:val="20"/>
              </w:rPr>
            </w:pPr>
            <w:r w:rsidRPr="006B6723">
              <w:rPr>
                <w:rFonts w:eastAsia="Verdana" w:cs="Verdana"/>
                <w:color w:val="000000" w:themeColor="text1"/>
                <w:sz w:val="20"/>
              </w:rPr>
              <w:t>TRA will continue to deliver bespoke reports on key areas of the visitor economy, including an updated First Nations tourism report and a Nature-Based Tourism in Australia report.</w:t>
            </w:r>
          </w:p>
        </w:tc>
      </w:tr>
    </w:tbl>
    <w:p w14:paraId="4A61232D" w14:textId="5FF0CE17" w:rsidR="00A16638" w:rsidRPr="0050488A" w:rsidRDefault="00A16638" w:rsidP="0050488A">
      <w:pPr>
        <w:pStyle w:val="Introcopy"/>
        <w:spacing w:after="200"/>
        <w:rPr>
          <w:rFonts w:eastAsiaTheme="minorHAnsi"/>
          <w:color w:val="993C94"/>
          <w:lang w:eastAsia="en-US"/>
        </w:rPr>
      </w:pPr>
    </w:p>
    <w:sectPr w:rsidR="00A16638" w:rsidRPr="0050488A" w:rsidSect="00DD2173">
      <w:headerReference w:type="even" r:id="rId34"/>
      <w:headerReference w:type="default" r:id="rId35"/>
      <w:footerReference w:type="even" r:id="rId36"/>
      <w:footerReference w:type="default" r:id="rId37"/>
      <w:headerReference w:type="first" r:id="rId38"/>
      <w:footerReference w:type="first" r:id="rId39"/>
      <w:pgSz w:w="23811" w:h="16838" w:orient="landscape" w:code="8"/>
      <w:pgMar w:top="1134" w:right="810" w:bottom="1134" w:left="1474" w:header="454" w:footer="5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CE17" w14:textId="77777777" w:rsidR="00EC52C5" w:rsidRDefault="00EC52C5" w:rsidP="004751B4">
      <w:r>
        <w:separator/>
      </w:r>
    </w:p>
  </w:endnote>
  <w:endnote w:type="continuationSeparator" w:id="0">
    <w:p w14:paraId="62F50D53" w14:textId="77777777" w:rsidR="00EC52C5" w:rsidRDefault="00EC52C5" w:rsidP="004751B4">
      <w:r>
        <w:continuationSeparator/>
      </w:r>
    </w:p>
  </w:endnote>
  <w:endnote w:type="continuationNotice" w:id="1">
    <w:p w14:paraId="0954811B" w14:textId="77777777" w:rsidR="00EC52C5" w:rsidRDefault="00EC52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5AD9" w14:textId="214AEE91" w:rsidR="00B563D4" w:rsidRDefault="00B563D4">
    <w:pPr>
      <w:pStyle w:val="Footer"/>
    </w:pPr>
    <w:r>
      <w:rPr>
        <w:noProof/>
      </w:rPr>
      <mc:AlternateContent>
        <mc:Choice Requires="wps">
          <w:drawing>
            <wp:anchor distT="0" distB="0" distL="0" distR="0" simplePos="0" relativeHeight="251658244" behindDoc="0" locked="0" layoutInCell="1" allowOverlap="1" wp14:anchorId="52AF07E4" wp14:editId="2BC4BBD7">
              <wp:simplePos x="635" y="635"/>
              <wp:positionH relativeFrom="page">
                <wp:align>center</wp:align>
              </wp:positionH>
              <wp:positionV relativeFrom="page">
                <wp:align>bottom</wp:align>
              </wp:positionV>
              <wp:extent cx="551815" cy="508000"/>
              <wp:effectExtent l="0" t="0" r="635" b="0"/>
              <wp:wrapNone/>
              <wp:docPr id="17070901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B2C9916" w14:textId="18F98E8D" w:rsidR="00B563D4" w:rsidRPr="00B563D4" w:rsidRDefault="00B563D4" w:rsidP="00B563D4">
                          <w:pPr>
                            <w:spacing w:after="0"/>
                            <w:rPr>
                              <w:rFonts w:ascii="Calibri" w:eastAsia="Calibri" w:hAnsi="Calibri" w:cs="Calibri"/>
                              <w:noProof/>
                              <w:color w:val="FF0000"/>
                              <w:sz w:val="24"/>
                              <w:szCs w:val="24"/>
                            </w:rPr>
                          </w:pPr>
                          <w:r w:rsidRPr="00B563D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2AF07E4">
              <v:stroke joinstyle="miter"/>
              <v:path gradientshapeok="t" o:connecttype="rect"/>
            </v:shapetype>
            <v:shape id="Text Box 5" style="position:absolute;margin-left:0;margin-top:0;width:43.45pt;height:40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Ad48ORDgIAABwE&#10;AAAOAAAAAAAAAAAAAAAAAC4CAABkcnMvZTJvRG9jLnhtbFBLAQItABQABgAIAAAAIQAun/o72gAA&#10;AAMBAAAPAAAAAAAAAAAAAAAAAGgEAABkcnMvZG93bnJldi54bWxQSwUGAAAAAAQABADzAAAAbwUA&#10;AAAA&#10;">
              <v:textbox style="mso-fit-shape-to-text:t" inset="0,0,0,15pt">
                <w:txbxContent>
                  <w:p w:rsidRPr="00B563D4" w:rsidR="00B563D4" w:rsidP="00B563D4" w:rsidRDefault="00B563D4" w14:paraId="1B2C9916" w14:textId="18F98E8D">
                    <w:pPr>
                      <w:spacing w:after="0"/>
                      <w:rPr>
                        <w:rFonts w:ascii="Calibri" w:hAnsi="Calibri" w:eastAsia="Calibri" w:cs="Calibri"/>
                        <w:noProof/>
                        <w:color w:val="FF0000"/>
                        <w:sz w:val="24"/>
                        <w:szCs w:val="24"/>
                      </w:rPr>
                    </w:pPr>
                    <w:r w:rsidRPr="00B563D4">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57FD" w14:textId="4EE5E7C8" w:rsidR="000C7C68" w:rsidRPr="00016994" w:rsidRDefault="00A056A6" w:rsidP="79E0B78D">
    <w:pPr>
      <w:rPr>
        <w:rFonts w:ascii="Verdana" w:eastAsia="Verdana" w:hAnsi="Verdana" w:cs="Verdana"/>
        <w:color w:val="000000" w:themeColor="text1"/>
      </w:rPr>
    </w:pPr>
    <w:r w:rsidRPr="00016994">
      <w:rPr>
        <w:noProof/>
      </w:rPr>
      <w:t>THRIVE 2030</w:t>
    </w:r>
    <w:r w:rsidR="00602BAA" w:rsidRPr="00016994">
      <w:rPr>
        <w:noProof/>
      </w:rPr>
      <w:t xml:space="preserve"> Action Plan</w:t>
    </w:r>
    <w:r w:rsidR="00217B01" w:rsidRPr="00016994">
      <w:rPr>
        <w:rFonts w:ascii="Verdana" w:eastAsia="Verdana" w:hAnsi="Verdana" w:cs="Verdana"/>
        <w:color w:val="000000" w:themeColor="text1"/>
      </w:rPr>
      <w:t xml:space="preserve"> </w:t>
    </w:r>
    <w:r w:rsidR="0CE849B9" w:rsidRPr="00016994">
      <w:rPr>
        <w:rFonts w:ascii="Verdana" w:eastAsia="Verdana" w:hAnsi="Verdana" w:cs="Verdana"/>
        <w:color w:val="000000" w:themeColor="text1"/>
      </w:rPr>
      <w:t xml:space="preserve">– </w:t>
    </w:r>
    <w:r w:rsidRPr="00016994">
      <w:rPr>
        <w:rFonts w:ascii="Verdana" w:eastAsia="Verdana" w:hAnsi="Verdana" w:cs="Verdana"/>
        <w:color w:val="000000" w:themeColor="text1"/>
      </w:rPr>
      <w:t xml:space="preserve">Progress </w:t>
    </w:r>
    <w:r w:rsidR="00DD2173" w:rsidRPr="00016994">
      <w:rPr>
        <w:rFonts w:ascii="Verdana" w:eastAsia="Verdana" w:hAnsi="Verdana" w:cs="Verdana"/>
        <w:color w:val="000000" w:themeColor="text1"/>
      </w:rPr>
      <w:t xml:space="preserve">status </w:t>
    </w:r>
    <w:r w:rsidRPr="00016994">
      <w:rPr>
        <w:rFonts w:ascii="Verdana" w:eastAsia="Verdana" w:hAnsi="Verdana" w:cs="Verdana"/>
        <w:color w:val="000000" w:themeColor="text1"/>
      </w:rPr>
      <w:t xml:space="preserve">report </w:t>
    </w:r>
    <w:r w:rsidR="003A2A35">
      <w:rPr>
        <w:rFonts w:ascii="Verdana" w:eastAsia="Verdana" w:hAnsi="Verdana" w:cs="Verdana"/>
        <w:color w:val="000000" w:themeColor="text1"/>
      </w:rPr>
      <w:t>– Ju</w:t>
    </w:r>
    <w:r w:rsidR="00F71D6E">
      <w:rPr>
        <w:rFonts w:ascii="Verdana" w:eastAsia="Verdana" w:hAnsi="Verdana" w:cs="Verdana"/>
        <w:color w:val="000000" w:themeColor="text1"/>
      </w:rPr>
      <w:t>ly</w:t>
    </w:r>
    <w:r w:rsidR="003A2A35">
      <w:rPr>
        <w:rFonts w:ascii="Verdana" w:eastAsia="Verdana" w:hAnsi="Verdana" w:cs="Verdana"/>
        <w:color w:val="000000" w:themeColor="text1"/>
      </w:rPr>
      <w:t xml:space="preserve"> 2026</w:t>
    </w:r>
  </w:p>
  <w:p w14:paraId="4D25E214" w14:textId="77777777" w:rsidR="003A2A35" w:rsidRPr="00016994" w:rsidRDefault="003A2A35" w:rsidP="79E0B78D">
    <w:pPr>
      <w:rPr>
        <w:rFonts w:ascii="Verdana" w:eastAsia="Verdana" w:hAnsi="Verdana" w:cs="Verdana"/>
        <w:color w:val="000000" w:themeColor="text1"/>
      </w:rPr>
    </w:pPr>
  </w:p>
  <w:p w14:paraId="2E8741AE" w14:textId="6F241B40" w:rsidR="006B3279" w:rsidRPr="006B3279" w:rsidRDefault="006B3279" w:rsidP="79E0B78D">
    <w:r>
      <w:ptab w:relativeTo="margin" w:alignment="right" w:leader="none"/>
    </w:r>
    <w:r w:rsidRPr="006B3279">
      <w:rPr>
        <w:noProof/>
      </w:rPr>
      <w:fldChar w:fldCharType="begin"/>
    </w:r>
    <w:r w:rsidRPr="006B3279">
      <w:instrText xml:space="preserve"> PAGE   \* MERGEFORMAT </w:instrText>
    </w:r>
    <w:r w:rsidRPr="006B3279">
      <w:fldChar w:fldCharType="separate"/>
    </w:r>
    <w:r w:rsidR="0CE849B9">
      <w:rPr>
        <w:noProof/>
      </w:rPr>
      <w:t>2</w:t>
    </w:r>
    <w:r w:rsidRPr="006B32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81D0" w14:textId="1AF7FF70" w:rsidR="00B7523B" w:rsidRPr="00B7523B" w:rsidRDefault="00B563D4" w:rsidP="004751B4">
    <w:pPr>
      <w:pStyle w:val="Footer"/>
    </w:pPr>
    <w:r>
      <w:rPr>
        <w:noProof/>
      </w:rPr>
      <mc:AlternateContent>
        <mc:Choice Requires="wps">
          <w:drawing>
            <wp:anchor distT="0" distB="0" distL="0" distR="0" simplePos="0" relativeHeight="251658243" behindDoc="0" locked="0" layoutInCell="1" allowOverlap="1" wp14:anchorId="370F2B9A" wp14:editId="3EA7A815">
              <wp:simplePos x="635" y="635"/>
              <wp:positionH relativeFrom="page">
                <wp:align>center</wp:align>
              </wp:positionH>
              <wp:positionV relativeFrom="page">
                <wp:align>bottom</wp:align>
              </wp:positionV>
              <wp:extent cx="551815" cy="508000"/>
              <wp:effectExtent l="0" t="0" r="635" b="0"/>
              <wp:wrapNone/>
              <wp:docPr id="3641569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04EBA915" w14:textId="5FC24D3D" w:rsidR="00B563D4" w:rsidRPr="00B563D4" w:rsidRDefault="00B563D4" w:rsidP="00B563D4">
                          <w:pPr>
                            <w:spacing w:after="0"/>
                            <w:rPr>
                              <w:rFonts w:ascii="Calibri" w:eastAsia="Calibri" w:hAnsi="Calibri" w:cs="Calibri"/>
                              <w:noProof/>
                              <w:color w:val="FF0000"/>
                              <w:sz w:val="24"/>
                              <w:szCs w:val="24"/>
                            </w:rPr>
                          </w:pPr>
                          <w:r w:rsidRPr="00B563D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70F2B9A">
              <v:stroke joinstyle="miter"/>
              <v:path gradientshapeok="t" o:connecttype="rect"/>
            </v:shapetype>
            <v:shape id="Text Box 4" style="position:absolute;margin-left:0;margin-top:0;width:43.45pt;height:40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BzYGwcDgIAABwE&#10;AAAOAAAAAAAAAAAAAAAAAC4CAABkcnMvZTJvRG9jLnhtbFBLAQItABQABgAIAAAAIQAun/o72gAA&#10;AAMBAAAPAAAAAAAAAAAAAAAAAGgEAABkcnMvZG93bnJldi54bWxQSwUGAAAAAAQABADzAAAAbwUA&#10;AAAA&#10;">
              <v:textbox style="mso-fit-shape-to-text:t" inset="0,0,0,15pt">
                <w:txbxContent>
                  <w:p w:rsidRPr="00B563D4" w:rsidR="00B563D4" w:rsidP="00B563D4" w:rsidRDefault="00B563D4" w14:paraId="04EBA915" w14:textId="5FC24D3D">
                    <w:pPr>
                      <w:spacing w:after="0"/>
                      <w:rPr>
                        <w:rFonts w:ascii="Calibri" w:hAnsi="Calibri" w:eastAsia="Calibri" w:cs="Calibri"/>
                        <w:noProof/>
                        <w:color w:val="FF0000"/>
                        <w:sz w:val="24"/>
                        <w:szCs w:val="24"/>
                      </w:rPr>
                    </w:pPr>
                    <w:r w:rsidRPr="00B563D4">
                      <w:rPr>
                        <w:rFonts w:ascii="Calibri" w:hAnsi="Calibri" w:eastAsia="Calibri" w:cs="Calibri"/>
                        <w:noProof/>
                        <w:color w:val="FF0000"/>
                        <w:sz w:val="24"/>
                        <w:szCs w:val="24"/>
                      </w:rPr>
                      <w:t>OFFICIAL</w:t>
                    </w:r>
                  </w:p>
                </w:txbxContent>
              </v:textbox>
              <w10:wrap anchorx="page" anchory="page"/>
            </v:shape>
          </w:pict>
        </mc:Fallback>
      </mc:AlternateContent>
    </w:r>
    <w:r w:rsidR="00E47F64">
      <w:t>Add your document title here</w:t>
    </w:r>
    <w:r w:rsidR="00B7523B">
      <w:tab/>
    </w:r>
    <w:r w:rsidR="00B7523B">
      <w:ptab w:relativeTo="margin" w:alignment="right" w:leader="none"/>
    </w:r>
    <w:r w:rsidR="00B7523B" w:rsidRPr="006B3279">
      <w:fldChar w:fldCharType="begin"/>
    </w:r>
    <w:r w:rsidR="00B7523B" w:rsidRPr="006B3279">
      <w:instrText xml:space="preserve"> PAGE   \* MERGEFORMAT </w:instrText>
    </w:r>
    <w:r w:rsidR="00B7523B" w:rsidRPr="006B3279">
      <w:fldChar w:fldCharType="separate"/>
    </w:r>
    <w:r w:rsidR="00DF172A">
      <w:rPr>
        <w:noProof/>
      </w:rPr>
      <w:t>1</w:t>
    </w:r>
    <w:r w:rsidR="00B7523B" w:rsidRPr="006B32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31DF" w14:textId="77777777" w:rsidR="00EC52C5" w:rsidRDefault="00EC52C5" w:rsidP="004751B4"/>
  </w:footnote>
  <w:footnote w:type="continuationSeparator" w:id="0">
    <w:p w14:paraId="6B362A53" w14:textId="77777777" w:rsidR="00EC52C5" w:rsidRDefault="00EC52C5" w:rsidP="004751B4">
      <w:r>
        <w:continuationSeparator/>
      </w:r>
    </w:p>
  </w:footnote>
  <w:footnote w:type="continuationNotice" w:id="1">
    <w:p w14:paraId="3A39421D" w14:textId="77777777" w:rsidR="00EC52C5" w:rsidRDefault="00EC52C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4A87" w14:textId="4B6B3621" w:rsidR="00B563D4" w:rsidRDefault="00B563D4">
    <w:pPr>
      <w:pStyle w:val="Header"/>
    </w:pPr>
    <w:r>
      <w:rPr>
        <w:noProof/>
      </w:rPr>
      <mc:AlternateContent>
        <mc:Choice Requires="wps">
          <w:drawing>
            <wp:anchor distT="0" distB="0" distL="0" distR="0" simplePos="0" relativeHeight="251658241" behindDoc="0" locked="0" layoutInCell="1" allowOverlap="1" wp14:anchorId="6B085DC3" wp14:editId="127CDAC0">
              <wp:simplePos x="635" y="635"/>
              <wp:positionH relativeFrom="page">
                <wp:align>center</wp:align>
              </wp:positionH>
              <wp:positionV relativeFrom="page">
                <wp:align>top</wp:align>
              </wp:positionV>
              <wp:extent cx="551815" cy="508000"/>
              <wp:effectExtent l="0" t="0" r="635" b="6350"/>
              <wp:wrapNone/>
              <wp:docPr id="6497093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6C55BF8" w14:textId="2C65F843" w:rsidR="00B563D4" w:rsidRPr="00B563D4" w:rsidRDefault="00B563D4" w:rsidP="00B563D4">
                          <w:pPr>
                            <w:spacing w:after="0"/>
                            <w:rPr>
                              <w:rFonts w:ascii="Calibri" w:eastAsia="Calibri" w:hAnsi="Calibri" w:cs="Calibri"/>
                              <w:noProof/>
                              <w:color w:val="FF0000"/>
                              <w:sz w:val="24"/>
                              <w:szCs w:val="24"/>
                            </w:rPr>
                          </w:pPr>
                          <w:r w:rsidRPr="00B563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B085DC3">
              <v:stroke joinstyle="miter"/>
              <v:path gradientshapeok="t" o:connecttype="rect"/>
            </v:shapetype>
            <v:shape id="Text Box 2"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v:textbox style="mso-fit-shape-to-text:t" inset="0,15pt,0,0">
                <w:txbxContent>
                  <w:p w:rsidRPr="00B563D4" w:rsidR="00B563D4" w:rsidP="00B563D4" w:rsidRDefault="00B563D4" w14:paraId="16C55BF8" w14:textId="2C65F843">
                    <w:pPr>
                      <w:spacing w:after="0"/>
                      <w:rPr>
                        <w:rFonts w:ascii="Calibri" w:hAnsi="Calibri" w:eastAsia="Calibri" w:cs="Calibri"/>
                        <w:noProof/>
                        <w:color w:val="FF0000"/>
                        <w:sz w:val="24"/>
                        <w:szCs w:val="24"/>
                      </w:rPr>
                    </w:pPr>
                    <w:r w:rsidRPr="00B563D4">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7BAB" w14:textId="7BAA987C" w:rsidR="00B563D4" w:rsidRDefault="00B563D4">
    <w:pPr>
      <w:pStyle w:val="Header"/>
    </w:pPr>
    <w:r>
      <w:rPr>
        <w:noProof/>
      </w:rPr>
      <mc:AlternateContent>
        <mc:Choice Requires="wps">
          <w:drawing>
            <wp:anchor distT="0" distB="0" distL="0" distR="0" simplePos="0" relativeHeight="251658242" behindDoc="0" locked="0" layoutInCell="1" allowOverlap="1" wp14:anchorId="5AA8C288" wp14:editId="56A61625">
              <wp:simplePos x="723900" y="285750"/>
              <wp:positionH relativeFrom="page">
                <wp:align>center</wp:align>
              </wp:positionH>
              <wp:positionV relativeFrom="page">
                <wp:align>top</wp:align>
              </wp:positionV>
              <wp:extent cx="551815" cy="508000"/>
              <wp:effectExtent l="0" t="0" r="635" b="6350"/>
              <wp:wrapNone/>
              <wp:docPr id="9164784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4FF270DB" w14:textId="22E05242" w:rsidR="00B563D4" w:rsidRPr="00B563D4" w:rsidRDefault="00B563D4" w:rsidP="00B563D4">
                          <w:pPr>
                            <w:spacing w:after="0"/>
                            <w:rPr>
                              <w:rFonts w:ascii="Calibri" w:eastAsia="Calibri" w:hAnsi="Calibri" w:cs="Calibri"/>
                              <w:noProof/>
                              <w:color w:val="FF0000"/>
                              <w:sz w:val="24"/>
                              <w:szCs w:val="24"/>
                            </w:rPr>
                          </w:pPr>
                          <w:r w:rsidRPr="00B563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AA8C288">
              <v:stroke joinstyle="miter"/>
              <v:path gradientshapeok="t" o:connecttype="rect"/>
            </v:shapetype>
            <v:shape id="Text Box 3" style="position:absolute;margin-left:0;margin-top:0;width:43.45pt;height:40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UVjCw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">
              <v:textbox style="mso-fit-shape-to-text:t" inset="0,15pt,0,0">
                <w:txbxContent>
                  <w:p w:rsidRPr="00B563D4" w:rsidR="00B563D4" w:rsidP="00B563D4" w:rsidRDefault="00B563D4" w14:paraId="4FF270DB" w14:textId="22E05242">
                    <w:pPr>
                      <w:spacing w:after="0"/>
                      <w:rPr>
                        <w:rFonts w:ascii="Calibri" w:hAnsi="Calibri" w:eastAsia="Calibri" w:cs="Calibri"/>
                        <w:noProof/>
                        <w:color w:val="FF0000"/>
                        <w:sz w:val="24"/>
                        <w:szCs w:val="24"/>
                      </w:rPr>
                    </w:pPr>
                    <w:r w:rsidRPr="00B563D4">
                      <w:rPr>
                        <w:rFonts w:ascii="Calibri" w:hAnsi="Calibri" w:eastAsia="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8042" w14:textId="4AE30B29" w:rsidR="00B563D4" w:rsidRDefault="00B563D4">
    <w:pPr>
      <w:pStyle w:val="Header"/>
    </w:pPr>
    <w:r>
      <w:rPr>
        <w:noProof/>
      </w:rPr>
      <mc:AlternateContent>
        <mc:Choice Requires="wps">
          <w:drawing>
            <wp:anchor distT="0" distB="0" distL="0" distR="0" simplePos="0" relativeHeight="251658240" behindDoc="0" locked="0" layoutInCell="1" allowOverlap="1" wp14:anchorId="03300F92" wp14:editId="1D829AF4">
              <wp:simplePos x="635" y="635"/>
              <wp:positionH relativeFrom="page">
                <wp:align>center</wp:align>
              </wp:positionH>
              <wp:positionV relativeFrom="page">
                <wp:align>top</wp:align>
              </wp:positionV>
              <wp:extent cx="551815" cy="508000"/>
              <wp:effectExtent l="0" t="0" r="635" b="6350"/>
              <wp:wrapNone/>
              <wp:docPr id="4272314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73EB788" w14:textId="6C13CB4C" w:rsidR="00B563D4" w:rsidRPr="00B563D4" w:rsidRDefault="00B563D4" w:rsidP="00B563D4">
                          <w:pPr>
                            <w:spacing w:after="0"/>
                            <w:rPr>
                              <w:rFonts w:ascii="Calibri" w:eastAsia="Calibri" w:hAnsi="Calibri" w:cs="Calibri"/>
                              <w:noProof/>
                              <w:color w:val="FF0000"/>
                              <w:sz w:val="24"/>
                              <w:szCs w:val="24"/>
                            </w:rPr>
                          </w:pPr>
                          <w:r w:rsidRPr="00B563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3300F92">
              <v:stroke joinstyle="miter"/>
              <v:path gradientshapeok="t" o:connecttype="rect"/>
            </v:shapetype>
            <v:shape id="Text Box 1"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">
              <v:textbox style="mso-fit-shape-to-text:t" inset="0,15pt,0,0">
                <w:txbxContent>
                  <w:p w:rsidRPr="00B563D4" w:rsidR="00B563D4" w:rsidP="00B563D4" w:rsidRDefault="00B563D4" w14:paraId="673EB788" w14:textId="6C13CB4C">
                    <w:pPr>
                      <w:spacing w:after="0"/>
                      <w:rPr>
                        <w:rFonts w:ascii="Calibri" w:hAnsi="Calibri" w:eastAsia="Calibri" w:cs="Calibri"/>
                        <w:noProof/>
                        <w:color w:val="FF0000"/>
                        <w:sz w:val="24"/>
                        <w:szCs w:val="24"/>
                      </w:rPr>
                    </w:pPr>
                    <w:r w:rsidRPr="00B563D4">
                      <w:rPr>
                        <w:rFonts w:ascii="Calibri" w:hAnsi="Calibri" w:eastAsia="Calibri" w:cs="Calibri"/>
                        <w:noProof/>
                        <w:color w:val="FF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CSf5X2jSr6+FHa" int2:id="J77Go1zY">
      <int2:state int2:value="Rejected" int2:type="spell"/>
    </int2:textHash>
    <int2:textHash int2:hashCode="hJQ59B9+9e4r0o" int2:id="ZxAFuCt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5E"/>
    <w:multiLevelType w:val="multilevel"/>
    <w:tmpl w:val="C4AC7668"/>
    <w:styleLink w:val="Headings"/>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E65A63"/>
    <w:multiLevelType w:val="hybridMultilevel"/>
    <w:tmpl w:val="B002E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F5098B"/>
    <w:multiLevelType w:val="hybridMultilevel"/>
    <w:tmpl w:val="B6F67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08625E"/>
    <w:multiLevelType w:val="multilevel"/>
    <w:tmpl w:val="1076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224937"/>
    <w:multiLevelType w:val="multilevel"/>
    <w:tmpl w:val="07A6C8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5F1EBC"/>
    <w:multiLevelType w:val="hybridMultilevel"/>
    <w:tmpl w:val="9CB07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2A6EB5"/>
    <w:multiLevelType w:val="hybridMultilevel"/>
    <w:tmpl w:val="D980A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8A67C8"/>
    <w:multiLevelType w:val="hybridMultilevel"/>
    <w:tmpl w:val="1B9ECC10"/>
    <w:lvl w:ilvl="0" w:tplc="147C3B2A">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FE43BE"/>
    <w:multiLevelType w:val="multilevel"/>
    <w:tmpl w:val="F0187034"/>
    <w:lvl w:ilvl="0">
      <w:start w:val="1"/>
      <w:numFmt w:val="bullet"/>
      <w:pStyle w:val="ListBullet"/>
      <w:lvlText w:val=""/>
      <w:lvlJc w:val="left"/>
      <w:pPr>
        <w:ind w:left="284" w:hanging="284"/>
      </w:pPr>
      <w:rPr>
        <w:rFonts w:ascii="Symbol" w:hAnsi="Symbol" w:hint="default"/>
        <w:color w:val="2E1A47" w:themeColor="text2"/>
      </w:rPr>
    </w:lvl>
    <w:lvl w:ilvl="1">
      <w:start w:val="1"/>
      <w:numFmt w:val="bullet"/>
      <w:pStyle w:val="ListBullet2"/>
      <w:lvlText w:val="–"/>
      <w:lvlJc w:val="left"/>
      <w:pPr>
        <w:ind w:left="568" w:hanging="284"/>
      </w:pPr>
      <w:rPr>
        <w:rFonts w:ascii="Calibri" w:hAnsi="Calibri" w:hint="default"/>
        <w:color w:val="2E1A47" w:themeColor="text2"/>
      </w:rPr>
    </w:lvl>
    <w:lvl w:ilvl="2">
      <w:start w:val="1"/>
      <w:numFmt w:val="bullet"/>
      <w:pStyle w:val="ListBullet3"/>
      <w:lvlText w:val="–"/>
      <w:lvlJc w:val="left"/>
      <w:pPr>
        <w:ind w:left="852" w:hanging="284"/>
      </w:pPr>
      <w:rPr>
        <w:rFonts w:ascii="Calibri" w:hAnsi="Calibri" w:hint="default"/>
        <w:color w:val="2E1A47"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447E5274"/>
    <w:multiLevelType w:val="multilevel"/>
    <w:tmpl w:val="3A80A07A"/>
    <w:lvl w:ilvl="0">
      <w:start w:val="1"/>
      <w:numFmt w:val="decimal"/>
      <w:pStyle w:val="ListNumber"/>
      <w:lvlText w:val="%1."/>
      <w:lvlJc w:val="left"/>
      <w:pPr>
        <w:ind w:left="284" w:hanging="284"/>
      </w:pPr>
      <w:rPr>
        <w:rFonts w:hint="default"/>
        <w:b/>
        <w:i w:val="0"/>
        <w:color w:val="auto"/>
      </w:rPr>
    </w:lvl>
    <w:lvl w:ilvl="1">
      <w:start w:val="1"/>
      <w:numFmt w:val="lowerLetter"/>
      <w:pStyle w:val="ListNumber2"/>
      <w:lvlText w:val="%2)"/>
      <w:lvlJc w:val="left"/>
      <w:pPr>
        <w:ind w:left="568" w:hanging="284"/>
      </w:pPr>
      <w:rPr>
        <w:rFonts w:hint="default"/>
        <w:color w:val="auto"/>
      </w:rPr>
    </w:lvl>
    <w:lvl w:ilvl="2">
      <w:start w:val="1"/>
      <w:numFmt w:val="lowerRoman"/>
      <w:pStyle w:val="ListNumber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48D564D3"/>
    <w:multiLevelType w:val="multilevel"/>
    <w:tmpl w:val="8D40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643664"/>
    <w:multiLevelType w:val="hybridMultilevel"/>
    <w:tmpl w:val="A134CC02"/>
    <w:lvl w:ilvl="0" w:tplc="DFC08DC6">
      <w:start w:val="1"/>
      <w:numFmt w:val="decimal"/>
      <w:pStyle w:val="NumberedList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B93B5C"/>
    <w:multiLevelType w:val="hybridMultilevel"/>
    <w:tmpl w:val="7ECCC498"/>
    <w:lvl w:ilvl="0" w:tplc="18D62F42">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2880056"/>
    <w:multiLevelType w:val="hybridMultilevel"/>
    <w:tmpl w:val="462EB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2C198C"/>
    <w:multiLevelType w:val="hybridMultilevel"/>
    <w:tmpl w:val="94E21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952B71"/>
    <w:multiLevelType w:val="multilevel"/>
    <w:tmpl w:val="A64AF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B33690"/>
    <w:multiLevelType w:val="multilevel"/>
    <w:tmpl w:val="E62A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2E0E6D"/>
    <w:multiLevelType w:val="hybridMultilevel"/>
    <w:tmpl w:val="4D90E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C06A56"/>
    <w:multiLevelType w:val="hybridMultilevel"/>
    <w:tmpl w:val="68064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EF6804"/>
    <w:multiLevelType w:val="hybridMultilevel"/>
    <w:tmpl w:val="4CC24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5A4DF1"/>
    <w:multiLevelType w:val="multilevel"/>
    <w:tmpl w:val="AC7CB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67639747">
    <w:abstractNumId w:val="0"/>
  </w:num>
  <w:num w:numId="2" w16cid:durableId="215548763">
    <w:abstractNumId w:val="8"/>
  </w:num>
  <w:num w:numId="3" w16cid:durableId="1192300959">
    <w:abstractNumId w:val="9"/>
  </w:num>
  <w:num w:numId="4" w16cid:durableId="1764372303">
    <w:abstractNumId w:val="11"/>
  </w:num>
  <w:num w:numId="5" w16cid:durableId="1856650662">
    <w:abstractNumId w:val="7"/>
  </w:num>
  <w:num w:numId="6" w16cid:durableId="821239388">
    <w:abstractNumId w:val="19"/>
  </w:num>
  <w:num w:numId="7" w16cid:durableId="327483891">
    <w:abstractNumId w:val="18"/>
  </w:num>
  <w:num w:numId="8" w16cid:durableId="314264309">
    <w:abstractNumId w:val="14"/>
  </w:num>
  <w:num w:numId="9" w16cid:durableId="1606301111">
    <w:abstractNumId w:val="17"/>
  </w:num>
  <w:num w:numId="10" w16cid:durableId="1219390856">
    <w:abstractNumId w:val="6"/>
  </w:num>
  <w:num w:numId="11" w16cid:durableId="1179469997">
    <w:abstractNumId w:val="13"/>
  </w:num>
  <w:num w:numId="12" w16cid:durableId="2122529672">
    <w:abstractNumId w:val="20"/>
  </w:num>
  <w:num w:numId="13" w16cid:durableId="908347423">
    <w:abstractNumId w:val="4"/>
  </w:num>
  <w:num w:numId="14" w16cid:durableId="1042827315">
    <w:abstractNumId w:val="1"/>
  </w:num>
  <w:num w:numId="15" w16cid:durableId="843205848">
    <w:abstractNumId w:val="5"/>
  </w:num>
  <w:num w:numId="16" w16cid:durableId="2115516561">
    <w:abstractNumId w:val="16"/>
  </w:num>
  <w:num w:numId="17" w16cid:durableId="752825434">
    <w:abstractNumId w:val="10"/>
  </w:num>
  <w:num w:numId="18" w16cid:durableId="748894127">
    <w:abstractNumId w:val="3"/>
  </w:num>
  <w:num w:numId="19" w16cid:durableId="257451969">
    <w:abstractNumId w:val="2"/>
  </w:num>
  <w:num w:numId="20" w16cid:durableId="1704667556">
    <w:abstractNumId w:val="12"/>
  </w:num>
  <w:num w:numId="21" w16cid:durableId="13168072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D4"/>
    <w:rsid w:val="0000074D"/>
    <w:rsid w:val="00000A2B"/>
    <w:rsid w:val="00000F05"/>
    <w:rsid w:val="00001259"/>
    <w:rsid w:val="00001D81"/>
    <w:rsid w:val="00001E21"/>
    <w:rsid w:val="00002B86"/>
    <w:rsid w:val="00002BBF"/>
    <w:rsid w:val="00003409"/>
    <w:rsid w:val="00003BB4"/>
    <w:rsid w:val="00003BFC"/>
    <w:rsid w:val="00003E46"/>
    <w:rsid w:val="00005B1D"/>
    <w:rsid w:val="00005B38"/>
    <w:rsid w:val="00005CA5"/>
    <w:rsid w:val="000060F8"/>
    <w:rsid w:val="00006893"/>
    <w:rsid w:val="00007170"/>
    <w:rsid w:val="00007835"/>
    <w:rsid w:val="0001019B"/>
    <w:rsid w:val="000107B9"/>
    <w:rsid w:val="000107D4"/>
    <w:rsid w:val="00011293"/>
    <w:rsid w:val="000116D6"/>
    <w:rsid w:val="00011C34"/>
    <w:rsid w:val="00012A07"/>
    <w:rsid w:val="000131AB"/>
    <w:rsid w:val="00013526"/>
    <w:rsid w:val="000138FF"/>
    <w:rsid w:val="00014671"/>
    <w:rsid w:val="00015433"/>
    <w:rsid w:val="000163EF"/>
    <w:rsid w:val="00016994"/>
    <w:rsid w:val="000205E4"/>
    <w:rsid w:val="00020AF1"/>
    <w:rsid w:val="00020EAC"/>
    <w:rsid w:val="00021127"/>
    <w:rsid w:val="00021E14"/>
    <w:rsid w:val="00021E20"/>
    <w:rsid w:val="0002223C"/>
    <w:rsid w:val="00022C38"/>
    <w:rsid w:val="00022F33"/>
    <w:rsid w:val="0002350A"/>
    <w:rsid w:val="00024926"/>
    <w:rsid w:val="00027624"/>
    <w:rsid w:val="00027F09"/>
    <w:rsid w:val="00030F84"/>
    <w:rsid w:val="0003146B"/>
    <w:rsid w:val="00031DAA"/>
    <w:rsid w:val="00032EC0"/>
    <w:rsid w:val="00033EED"/>
    <w:rsid w:val="0003429D"/>
    <w:rsid w:val="00035567"/>
    <w:rsid w:val="00035911"/>
    <w:rsid w:val="00037710"/>
    <w:rsid w:val="00037C76"/>
    <w:rsid w:val="00037EEA"/>
    <w:rsid w:val="00041025"/>
    <w:rsid w:val="000419EC"/>
    <w:rsid w:val="000426BC"/>
    <w:rsid w:val="00042DEA"/>
    <w:rsid w:val="000443F5"/>
    <w:rsid w:val="00044563"/>
    <w:rsid w:val="00044CC6"/>
    <w:rsid w:val="0004538C"/>
    <w:rsid w:val="00045932"/>
    <w:rsid w:val="00046E7E"/>
    <w:rsid w:val="00050FC6"/>
    <w:rsid w:val="00051270"/>
    <w:rsid w:val="000517B8"/>
    <w:rsid w:val="00051F48"/>
    <w:rsid w:val="00052948"/>
    <w:rsid w:val="00052C73"/>
    <w:rsid w:val="000536F2"/>
    <w:rsid w:val="00053872"/>
    <w:rsid w:val="00053DC7"/>
    <w:rsid w:val="0005432A"/>
    <w:rsid w:val="000544F4"/>
    <w:rsid w:val="00054557"/>
    <w:rsid w:val="00055745"/>
    <w:rsid w:val="00055DBA"/>
    <w:rsid w:val="0005655E"/>
    <w:rsid w:val="00056994"/>
    <w:rsid w:val="00056DB1"/>
    <w:rsid w:val="00060514"/>
    <w:rsid w:val="00060A1E"/>
    <w:rsid w:val="00060DE9"/>
    <w:rsid w:val="00061ABE"/>
    <w:rsid w:val="000621AE"/>
    <w:rsid w:val="00062BDC"/>
    <w:rsid w:val="0006395F"/>
    <w:rsid w:val="0006476D"/>
    <w:rsid w:val="0006517A"/>
    <w:rsid w:val="000656E9"/>
    <w:rsid w:val="00065784"/>
    <w:rsid w:val="00066038"/>
    <w:rsid w:val="00066189"/>
    <w:rsid w:val="000676CB"/>
    <w:rsid w:val="00067B7D"/>
    <w:rsid w:val="00067E0A"/>
    <w:rsid w:val="00070967"/>
    <w:rsid w:val="000709F5"/>
    <w:rsid w:val="000717F4"/>
    <w:rsid w:val="00071E18"/>
    <w:rsid w:val="00073D70"/>
    <w:rsid w:val="00076683"/>
    <w:rsid w:val="00076E0B"/>
    <w:rsid w:val="00077005"/>
    <w:rsid w:val="00077495"/>
    <w:rsid w:val="00077899"/>
    <w:rsid w:val="00077D94"/>
    <w:rsid w:val="00080E22"/>
    <w:rsid w:val="000817C4"/>
    <w:rsid w:val="00081A98"/>
    <w:rsid w:val="00082067"/>
    <w:rsid w:val="00082246"/>
    <w:rsid w:val="00082302"/>
    <w:rsid w:val="00082A1C"/>
    <w:rsid w:val="00083A29"/>
    <w:rsid w:val="00083FC5"/>
    <w:rsid w:val="0008413F"/>
    <w:rsid w:val="000848A0"/>
    <w:rsid w:val="00086457"/>
    <w:rsid w:val="00086914"/>
    <w:rsid w:val="00086E9A"/>
    <w:rsid w:val="00087471"/>
    <w:rsid w:val="00087D9A"/>
    <w:rsid w:val="000901B7"/>
    <w:rsid w:val="00090538"/>
    <w:rsid w:val="00091083"/>
    <w:rsid w:val="000914C5"/>
    <w:rsid w:val="00091637"/>
    <w:rsid w:val="00092269"/>
    <w:rsid w:val="00092A1A"/>
    <w:rsid w:val="00092F4C"/>
    <w:rsid w:val="00093899"/>
    <w:rsid w:val="00094BBA"/>
    <w:rsid w:val="00095463"/>
    <w:rsid w:val="0009672B"/>
    <w:rsid w:val="00096ED6"/>
    <w:rsid w:val="00097313"/>
    <w:rsid w:val="000978CD"/>
    <w:rsid w:val="000A0D38"/>
    <w:rsid w:val="000A1A14"/>
    <w:rsid w:val="000A1B3F"/>
    <w:rsid w:val="000A1F09"/>
    <w:rsid w:val="000A25C4"/>
    <w:rsid w:val="000A2784"/>
    <w:rsid w:val="000A2A69"/>
    <w:rsid w:val="000A37DB"/>
    <w:rsid w:val="000A48B7"/>
    <w:rsid w:val="000A549B"/>
    <w:rsid w:val="000A5889"/>
    <w:rsid w:val="000A774C"/>
    <w:rsid w:val="000A7E43"/>
    <w:rsid w:val="000B0028"/>
    <w:rsid w:val="000B09B4"/>
    <w:rsid w:val="000B0D93"/>
    <w:rsid w:val="000B0F43"/>
    <w:rsid w:val="000B1137"/>
    <w:rsid w:val="000B1630"/>
    <w:rsid w:val="000B24DD"/>
    <w:rsid w:val="000B48A6"/>
    <w:rsid w:val="000B5C69"/>
    <w:rsid w:val="000B5F84"/>
    <w:rsid w:val="000C07F9"/>
    <w:rsid w:val="000C1454"/>
    <w:rsid w:val="000C1678"/>
    <w:rsid w:val="000C1B37"/>
    <w:rsid w:val="000C23D2"/>
    <w:rsid w:val="000C3255"/>
    <w:rsid w:val="000C3648"/>
    <w:rsid w:val="000C3F49"/>
    <w:rsid w:val="000C46B4"/>
    <w:rsid w:val="000C5BA8"/>
    <w:rsid w:val="000C65E7"/>
    <w:rsid w:val="000C6940"/>
    <w:rsid w:val="000C7C68"/>
    <w:rsid w:val="000D07CB"/>
    <w:rsid w:val="000D10F0"/>
    <w:rsid w:val="000D1102"/>
    <w:rsid w:val="000D117A"/>
    <w:rsid w:val="000D18D6"/>
    <w:rsid w:val="000D3A12"/>
    <w:rsid w:val="000D3CAE"/>
    <w:rsid w:val="000D3CE6"/>
    <w:rsid w:val="000D3E53"/>
    <w:rsid w:val="000D3F18"/>
    <w:rsid w:val="000D4D27"/>
    <w:rsid w:val="000D57A5"/>
    <w:rsid w:val="000D624A"/>
    <w:rsid w:val="000D6865"/>
    <w:rsid w:val="000D75B0"/>
    <w:rsid w:val="000E010B"/>
    <w:rsid w:val="000E01B1"/>
    <w:rsid w:val="000E1938"/>
    <w:rsid w:val="000E1EEE"/>
    <w:rsid w:val="000E2279"/>
    <w:rsid w:val="000E33E2"/>
    <w:rsid w:val="000E3578"/>
    <w:rsid w:val="000E3653"/>
    <w:rsid w:val="000E3795"/>
    <w:rsid w:val="000E5B8C"/>
    <w:rsid w:val="000E71DD"/>
    <w:rsid w:val="000F04AE"/>
    <w:rsid w:val="000F0DB9"/>
    <w:rsid w:val="000F17C9"/>
    <w:rsid w:val="000F1A42"/>
    <w:rsid w:val="000F1DC9"/>
    <w:rsid w:val="000F1FFC"/>
    <w:rsid w:val="000F2028"/>
    <w:rsid w:val="000F236A"/>
    <w:rsid w:val="000F24DA"/>
    <w:rsid w:val="000F2E55"/>
    <w:rsid w:val="000F50C1"/>
    <w:rsid w:val="000F58C4"/>
    <w:rsid w:val="000F5DEE"/>
    <w:rsid w:val="000F6B60"/>
    <w:rsid w:val="000F70E1"/>
    <w:rsid w:val="000F712C"/>
    <w:rsid w:val="000F75FC"/>
    <w:rsid w:val="001001BF"/>
    <w:rsid w:val="0010130A"/>
    <w:rsid w:val="00101F10"/>
    <w:rsid w:val="0010200B"/>
    <w:rsid w:val="001024DE"/>
    <w:rsid w:val="00102C6E"/>
    <w:rsid w:val="0010304C"/>
    <w:rsid w:val="00103411"/>
    <w:rsid w:val="00104AF3"/>
    <w:rsid w:val="001055EA"/>
    <w:rsid w:val="00105944"/>
    <w:rsid w:val="0010656D"/>
    <w:rsid w:val="001069D0"/>
    <w:rsid w:val="00106B9A"/>
    <w:rsid w:val="00106E72"/>
    <w:rsid w:val="001072FC"/>
    <w:rsid w:val="00110406"/>
    <w:rsid w:val="001116A9"/>
    <w:rsid w:val="001123F8"/>
    <w:rsid w:val="00112839"/>
    <w:rsid w:val="00113D7B"/>
    <w:rsid w:val="001149F5"/>
    <w:rsid w:val="00116B05"/>
    <w:rsid w:val="0012157B"/>
    <w:rsid w:val="00122649"/>
    <w:rsid w:val="00122866"/>
    <w:rsid w:val="0012286C"/>
    <w:rsid w:val="00124120"/>
    <w:rsid w:val="001248DE"/>
    <w:rsid w:val="00124D05"/>
    <w:rsid w:val="00126A97"/>
    <w:rsid w:val="00127DFB"/>
    <w:rsid w:val="001310E1"/>
    <w:rsid w:val="00131F60"/>
    <w:rsid w:val="0013255C"/>
    <w:rsid w:val="00132EEF"/>
    <w:rsid w:val="001335BB"/>
    <w:rsid w:val="001336A4"/>
    <w:rsid w:val="00133A64"/>
    <w:rsid w:val="00133D15"/>
    <w:rsid w:val="00133F05"/>
    <w:rsid w:val="0013471F"/>
    <w:rsid w:val="001354CB"/>
    <w:rsid w:val="00136A38"/>
    <w:rsid w:val="00137EBA"/>
    <w:rsid w:val="00141573"/>
    <w:rsid w:val="00141696"/>
    <w:rsid w:val="00141C15"/>
    <w:rsid w:val="001429D0"/>
    <w:rsid w:val="00142FDC"/>
    <w:rsid w:val="00143469"/>
    <w:rsid w:val="00143689"/>
    <w:rsid w:val="00144B58"/>
    <w:rsid w:val="00144CB8"/>
    <w:rsid w:val="00147562"/>
    <w:rsid w:val="00150210"/>
    <w:rsid w:val="00151A9A"/>
    <w:rsid w:val="00151CFD"/>
    <w:rsid w:val="00152541"/>
    <w:rsid w:val="00152FBD"/>
    <w:rsid w:val="001543D3"/>
    <w:rsid w:val="00155012"/>
    <w:rsid w:val="0015562A"/>
    <w:rsid w:val="00155A6D"/>
    <w:rsid w:val="001568BE"/>
    <w:rsid w:val="0015725A"/>
    <w:rsid w:val="001607A9"/>
    <w:rsid w:val="0016082A"/>
    <w:rsid w:val="001618B7"/>
    <w:rsid w:val="00161D6A"/>
    <w:rsid w:val="0016236D"/>
    <w:rsid w:val="00162D58"/>
    <w:rsid w:val="001635F0"/>
    <w:rsid w:val="00163B4C"/>
    <w:rsid w:val="00163BF6"/>
    <w:rsid w:val="00163C07"/>
    <w:rsid w:val="00164C55"/>
    <w:rsid w:val="00165D09"/>
    <w:rsid w:val="0016609A"/>
    <w:rsid w:val="00166AE3"/>
    <w:rsid w:val="00166EB0"/>
    <w:rsid w:val="00166EB4"/>
    <w:rsid w:val="001672CF"/>
    <w:rsid w:val="001705B7"/>
    <w:rsid w:val="00170E31"/>
    <w:rsid w:val="00171702"/>
    <w:rsid w:val="00171763"/>
    <w:rsid w:val="00171AAA"/>
    <w:rsid w:val="00172D80"/>
    <w:rsid w:val="0017315A"/>
    <w:rsid w:val="001731EE"/>
    <w:rsid w:val="00174981"/>
    <w:rsid w:val="00175974"/>
    <w:rsid w:val="00175EB9"/>
    <w:rsid w:val="00177481"/>
    <w:rsid w:val="00177A01"/>
    <w:rsid w:val="00180AB9"/>
    <w:rsid w:val="00181C3B"/>
    <w:rsid w:val="00181D98"/>
    <w:rsid w:val="00181E66"/>
    <w:rsid w:val="001820AF"/>
    <w:rsid w:val="001826DA"/>
    <w:rsid w:val="00182A1C"/>
    <w:rsid w:val="0018402D"/>
    <w:rsid w:val="0018441A"/>
    <w:rsid w:val="00184BEA"/>
    <w:rsid w:val="0018647F"/>
    <w:rsid w:val="001875F0"/>
    <w:rsid w:val="00190862"/>
    <w:rsid w:val="00190EAB"/>
    <w:rsid w:val="001918A5"/>
    <w:rsid w:val="00191E47"/>
    <w:rsid w:val="00193166"/>
    <w:rsid w:val="00193650"/>
    <w:rsid w:val="00193721"/>
    <w:rsid w:val="001944BF"/>
    <w:rsid w:val="00195848"/>
    <w:rsid w:val="001973E3"/>
    <w:rsid w:val="001A3EFD"/>
    <w:rsid w:val="001A4754"/>
    <w:rsid w:val="001A48DC"/>
    <w:rsid w:val="001A4A3E"/>
    <w:rsid w:val="001A529A"/>
    <w:rsid w:val="001A6067"/>
    <w:rsid w:val="001A6A52"/>
    <w:rsid w:val="001A725A"/>
    <w:rsid w:val="001A7F81"/>
    <w:rsid w:val="001B11DB"/>
    <w:rsid w:val="001B12C1"/>
    <w:rsid w:val="001B1697"/>
    <w:rsid w:val="001B1AD3"/>
    <w:rsid w:val="001B3794"/>
    <w:rsid w:val="001B505B"/>
    <w:rsid w:val="001B592B"/>
    <w:rsid w:val="001B6A80"/>
    <w:rsid w:val="001B7065"/>
    <w:rsid w:val="001B7701"/>
    <w:rsid w:val="001C0C53"/>
    <w:rsid w:val="001C13FE"/>
    <w:rsid w:val="001C2819"/>
    <w:rsid w:val="001C29BF"/>
    <w:rsid w:val="001C2F81"/>
    <w:rsid w:val="001C3252"/>
    <w:rsid w:val="001C3C09"/>
    <w:rsid w:val="001C4B71"/>
    <w:rsid w:val="001C63B0"/>
    <w:rsid w:val="001C6E84"/>
    <w:rsid w:val="001C7A13"/>
    <w:rsid w:val="001C7F64"/>
    <w:rsid w:val="001D04F1"/>
    <w:rsid w:val="001D0E96"/>
    <w:rsid w:val="001D1CAB"/>
    <w:rsid w:val="001D1FFA"/>
    <w:rsid w:val="001D3000"/>
    <w:rsid w:val="001D33FD"/>
    <w:rsid w:val="001D3623"/>
    <w:rsid w:val="001D3F48"/>
    <w:rsid w:val="001D4968"/>
    <w:rsid w:val="001D56F3"/>
    <w:rsid w:val="001D5A1C"/>
    <w:rsid w:val="001D7A8A"/>
    <w:rsid w:val="001D7D13"/>
    <w:rsid w:val="001E09CE"/>
    <w:rsid w:val="001E0EDE"/>
    <w:rsid w:val="001E1C87"/>
    <w:rsid w:val="001E237B"/>
    <w:rsid w:val="001E3134"/>
    <w:rsid w:val="001E34BB"/>
    <w:rsid w:val="001E3D6B"/>
    <w:rsid w:val="001E43C9"/>
    <w:rsid w:val="001E70C0"/>
    <w:rsid w:val="001E733B"/>
    <w:rsid w:val="001E7AA1"/>
    <w:rsid w:val="001F000D"/>
    <w:rsid w:val="001F0133"/>
    <w:rsid w:val="001F22C3"/>
    <w:rsid w:val="001F2416"/>
    <w:rsid w:val="001F2DD7"/>
    <w:rsid w:val="001F34ED"/>
    <w:rsid w:val="001F3925"/>
    <w:rsid w:val="001F4FF5"/>
    <w:rsid w:val="001F5268"/>
    <w:rsid w:val="001F5431"/>
    <w:rsid w:val="001F640F"/>
    <w:rsid w:val="001F68BF"/>
    <w:rsid w:val="001F7C47"/>
    <w:rsid w:val="001F7EB6"/>
    <w:rsid w:val="00200CC2"/>
    <w:rsid w:val="00201CD8"/>
    <w:rsid w:val="0020266F"/>
    <w:rsid w:val="002027B0"/>
    <w:rsid w:val="00203146"/>
    <w:rsid w:val="002039EF"/>
    <w:rsid w:val="00203A43"/>
    <w:rsid w:val="002044BE"/>
    <w:rsid w:val="0020464D"/>
    <w:rsid w:val="00204BB5"/>
    <w:rsid w:val="00206ABC"/>
    <w:rsid w:val="00206B8A"/>
    <w:rsid w:val="00206EFB"/>
    <w:rsid w:val="002070B0"/>
    <w:rsid w:val="002102AC"/>
    <w:rsid w:val="00210FD9"/>
    <w:rsid w:val="00211028"/>
    <w:rsid w:val="002113B6"/>
    <w:rsid w:val="002117AE"/>
    <w:rsid w:val="00212488"/>
    <w:rsid w:val="002126E6"/>
    <w:rsid w:val="00213BC7"/>
    <w:rsid w:val="00214616"/>
    <w:rsid w:val="00214A35"/>
    <w:rsid w:val="00214FA4"/>
    <w:rsid w:val="00215214"/>
    <w:rsid w:val="00216277"/>
    <w:rsid w:val="00216490"/>
    <w:rsid w:val="00217B01"/>
    <w:rsid w:val="00217EF5"/>
    <w:rsid w:val="0022159A"/>
    <w:rsid w:val="00221E0F"/>
    <w:rsid w:val="0022201E"/>
    <w:rsid w:val="002224C8"/>
    <w:rsid w:val="00223B43"/>
    <w:rsid w:val="0022462A"/>
    <w:rsid w:val="00225116"/>
    <w:rsid w:val="0022581A"/>
    <w:rsid w:val="00225FB6"/>
    <w:rsid w:val="00226398"/>
    <w:rsid w:val="00226A9E"/>
    <w:rsid w:val="0022716E"/>
    <w:rsid w:val="002273AA"/>
    <w:rsid w:val="00227802"/>
    <w:rsid w:val="00227E6E"/>
    <w:rsid w:val="002301C6"/>
    <w:rsid w:val="00231DC4"/>
    <w:rsid w:val="00232433"/>
    <w:rsid w:val="00232BB0"/>
    <w:rsid w:val="00234177"/>
    <w:rsid w:val="00235AC3"/>
    <w:rsid w:val="00236384"/>
    <w:rsid w:val="00236511"/>
    <w:rsid w:val="00236A7C"/>
    <w:rsid w:val="00236D46"/>
    <w:rsid w:val="00236E3D"/>
    <w:rsid w:val="002371C6"/>
    <w:rsid w:val="00237F5F"/>
    <w:rsid w:val="002401C2"/>
    <w:rsid w:val="00240242"/>
    <w:rsid w:val="002408C6"/>
    <w:rsid w:val="00242E48"/>
    <w:rsid w:val="002437CD"/>
    <w:rsid w:val="00243CCC"/>
    <w:rsid w:val="00245082"/>
    <w:rsid w:val="0024559F"/>
    <w:rsid w:val="00245994"/>
    <w:rsid w:val="00246138"/>
    <w:rsid w:val="00246156"/>
    <w:rsid w:val="0024657F"/>
    <w:rsid w:val="00247742"/>
    <w:rsid w:val="002479F5"/>
    <w:rsid w:val="0025064F"/>
    <w:rsid w:val="002514DA"/>
    <w:rsid w:val="002515AF"/>
    <w:rsid w:val="00251ED4"/>
    <w:rsid w:val="00252F99"/>
    <w:rsid w:val="002536FB"/>
    <w:rsid w:val="0025375B"/>
    <w:rsid w:val="00254305"/>
    <w:rsid w:val="00254B41"/>
    <w:rsid w:val="00254E92"/>
    <w:rsid w:val="00255B47"/>
    <w:rsid w:val="002562A9"/>
    <w:rsid w:val="00256559"/>
    <w:rsid w:val="0025717E"/>
    <w:rsid w:val="00257623"/>
    <w:rsid w:val="0026002E"/>
    <w:rsid w:val="002607D9"/>
    <w:rsid w:val="00260D4A"/>
    <w:rsid w:val="0026203D"/>
    <w:rsid w:val="002621B8"/>
    <w:rsid w:val="00262A79"/>
    <w:rsid w:val="00262A80"/>
    <w:rsid w:val="00264126"/>
    <w:rsid w:val="00264274"/>
    <w:rsid w:val="00265020"/>
    <w:rsid w:val="00265785"/>
    <w:rsid w:val="002658E8"/>
    <w:rsid w:val="00265EAC"/>
    <w:rsid w:val="00265EB4"/>
    <w:rsid w:val="00266606"/>
    <w:rsid w:val="00266E54"/>
    <w:rsid w:val="00267920"/>
    <w:rsid w:val="00267A77"/>
    <w:rsid w:val="00270D4B"/>
    <w:rsid w:val="002713A9"/>
    <w:rsid w:val="00271F38"/>
    <w:rsid w:val="00271F60"/>
    <w:rsid w:val="00272D95"/>
    <w:rsid w:val="0027349B"/>
    <w:rsid w:val="00274788"/>
    <w:rsid w:val="002749A6"/>
    <w:rsid w:val="00274A8B"/>
    <w:rsid w:val="00274FB2"/>
    <w:rsid w:val="00275A3C"/>
    <w:rsid w:val="002767B7"/>
    <w:rsid w:val="00277010"/>
    <w:rsid w:val="00277BCC"/>
    <w:rsid w:val="0028019A"/>
    <w:rsid w:val="0028147B"/>
    <w:rsid w:val="0028157D"/>
    <w:rsid w:val="00281729"/>
    <w:rsid w:val="00281791"/>
    <w:rsid w:val="00281D81"/>
    <w:rsid w:val="00281EAD"/>
    <w:rsid w:val="00282351"/>
    <w:rsid w:val="00283549"/>
    <w:rsid w:val="00283553"/>
    <w:rsid w:val="0028377D"/>
    <w:rsid w:val="0028383B"/>
    <w:rsid w:val="00283DD3"/>
    <w:rsid w:val="00284688"/>
    <w:rsid w:val="00284845"/>
    <w:rsid w:val="00285530"/>
    <w:rsid w:val="00285AE5"/>
    <w:rsid w:val="00286058"/>
    <w:rsid w:val="00286893"/>
    <w:rsid w:val="00286DD2"/>
    <w:rsid w:val="0028720B"/>
    <w:rsid w:val="00291037"/>
    <w:rsid w:val="00291FDC"/>
    <w:rsid w:val="002921F5"/>
    <w:rsid w:val="0029228C"/>
    <w:rsid w:val="00294254"/>
    <w:rsid w:val="00295B15"/>
    <w:rsid w:val="0029642E"/>
    <w:rsid w:val="002971BF"/>
    <w:rsid w:val="002A01BB"/>
    <w:rsid w:val="002A0EC4"/>
    <w:rsid w:val="002A10ED"/>
    <w:rsid w:val="002A1330"/>
    <w:rsid w:val="002A1AAF"/>
    <w:rsid w:val="002A1AC4"/>
    <w:rsid w:val="002A2E10"/>
    <w:rsid w:val="002A3463"/>
    <w:rsid w:val="002A3842"/>
    <w:rsid w:val="002A4344"/>
    <w:rsid w:val="002A4375"/>
    <w:rsid w:val="002A7D96"/>
    <w:rsid w:val="002B01C0"/>
    <w:rsid w:val="002B08D0"/>
    <w:rsid w:val="002B0F54"/>
    <w:rsid w:val="002B2581"/>
    <w:rsid w:val="002B2947"/>
    <w:rsid w:val="002B2A7A"/>
    <w:rsid w:val="002B2C0F"/>
    <w:rsid w:val="002B4778"/>
    <w:rsid w:val="002B4965"/>
    <w:rsid w:val="002B4DDE"/>
    <w:rsid w:val="002B5075"/>
    <w:rsid w:val="002B5B1E"/>
    <w:rsid w:val="002B66D2"/>
    <w:rsid w:val="002B6CD7"/>
    <w:rsid w:val="002B775A"/>
    <w:rsid w:val="002C00B0"/>
    <w:rsid w:val="002C0CE9"/>
    <w:rsid w:val="002C136D"/>
    <w:rsid w:val="002C2424"/>
    <w:rsid w:val="002C29DA"/>
    <w:rsid w:val="002C52AF"/>
    <w:rsid w:val="002C5636"/>
    <w:rsid w:val="002C5EAC"/>
    <w:rsid w:val="002C6796"/>
    <w:rsid w:val="002C701C"/>
    <w:rsid w:val="002C734D"/>
    <w:rsid w:val="002C78B3"/>
    <w:rsid w:val="002D004C"/>
    <w:rsid w:val="002D09EC"/>
    <w:rsid w:val="002D1329"/>
    <w:rsid w:val="002D1795"/>
    <w:rsid w:val="002D227B"/>
    <w:rsid w:val="002D2588"/>
    <w:rsid w:val="002D4D9F"/>
    <w:rsid w:val="002D5213"/>
    <w:rsid w:val="002D5C76"/>
    <w:rsid w:val="002D5D3B"/>
    <w:rsid w:val="002D60AB"/>
    <w:rsid w:val="002D626B"/>
    <w:rsid w:val="002D67C7"/>
    <w:rsid w:val="002D7898"/>
    <w:rsid w:val="002D7B8F"/>
    <w:rsid w:val="002D7E08"/>
    <w:rsid w:val="002E07E7"/>
    <w:rsid w:val="002E0A37"/>
    <w:rsid w:val="002E0AC1"/>
    <w:rsid w:val="002E1E69"/>
    <w:rsid w:val="002E2861"/>
    <w:rsid w:val="002E2B43"/>
    <w:rsid w:val="002E34A0"/>
    <w:rsid w:val="002E4096"/>
    <w:rsid w:val="002E4E9F"/>
    <w:rsid w:val="002E5AD3"/>
    <w:rsid w:val="002E6BA2"/>
    <w:rsid w:val="002E6E0E"/>
    <w:rsid w:val="002E7F18"/>
    <w:rsid w:val="002F0A99"/>
    <w:rsid w:val="002F1DDC"/>
    <w:rsid w:val="002F1F47"/>
    <w:rsid w:val="002F29EC"/>
    <w:rsid w:val="002F2DA4"/>
    <w:rsid w:val="002F35A2"/>
    <w:rsid w:val="002F4A82"/>
    <w:rsid w:val="002F5541"/>
    <w:rsid w:val="002F58A1"/>
    <w:rsid w:val="002F5F89"/>
    <w:rsid w:val="002F74DE"/>
    <w:rsid w:val="003011CA"/>
    <w:rsid w:val="0030124C"/>
    <w:rsid w:val="003012EF"/>
    <w:rsid w:val="003014AB"/>
    <w:rsid w:val="0030514D"/>
    <w:rsid w:val="003051AC"/>
    <w:rsid w:val="003054D4"/>
    <w:rsid w:val="003056C8"/>
    <w:rsid w:val="00305EB5"/>
    <w:rsid w:val="00307163"/>
    <w:rsid w:val="00307EDD"/>
    <w:rsid w:val="0031037D"/>
    <w:rsid w:val="003109C1"/>
    <w:rsid w:val="00310A02"/>
    <w:rsid w:val="00311EC7"/>
    <w:rsid w:val="00311FF8"/>
    <w:rsid w:val="003136E3"/>
    <w:rsid w:val="00313D72"/>
    <w:rsid w:val="003141B4"/>
    <w:rsid w:val="00314FC6"/>
    <w:rsid w:val="00315381"/>
    <w:rsid w:val="003159EC"/>
    <w:rsid w:val="00315C3C"/>
    <w:rsid w:val="003167B0"/>
    <w:rsid w:val="00316A9E"/>
    <w:rsid w:val="003173DB"/>
    <w:rsid w:val="003179B5"/>
    <w:rsid w:val="00317A2C"/>
    <w:rsid w:val="00317DA1"/>
    <w:rsid w:val="003201CF"/>
    <w:rsid w:val="00320828"/>
    <w:rsid w:val="00320C82"/>
    <w:rsid w:val="00322245"/>
    <w:rsid w:val="00322B5F"/>
    <w:rsid w:val="003232C9"/>
    <w:rsid w:val="003238B4"/>
    <w:rsid w:val="00323915"/>
    <w:rsid w:val="00323D0D"/>
    <w:rsid w:val="00324009"/>
    <w:rsid w:val="0032404F"/>
    <w:rsid w:val="00324E18"/>
    <w:rsid w:val="0032593B"/>
    <w:rsid w:val="00325FE6"/>
    <w:rsid w:val="00326B90"/>
    <w:rsid w:val="003273E5"/>
    <w:rsid w:val="00327864"/>
    <w:rsid w:val="0033004C"/>
    <w:rsid w:val="003307A3"/>
    <w:rsid w:val="00331542"/>
    <w:rsid w:val="003316D1"/>
    <w:rsid w:val="003335AE"/>
    <w:rsid w:val="0033369C"/>
    <w:rsid w:val="0033373D"/>
    <w:rsid w:val="00333FF1"/>
    <w:rsid w:val="00334C53"/>
    <w:rsid w:val="003359F7"/>
    <w:rsid w:val="003368D8"/>
    <w:rsid w:val="00336ACF"/>
    <w:rsid w:val="003374F4"/>
    <w:rsid w:val="00337C28"/>
    <w:rsid w:val="00337EB3"/>
    <w:rsid w:val="003406B6"/>
    <w:rsid w:val="0034147F"/>
    <w:rsid w:val="00341B03"/>
    <w:rsid w:val="00341C64"/>
    <w:rsid w:val="00341D19"/>
    <w:rsid w:val="00342143"/>
    <w:rsid w:val="0034266A"/>
    <w:rsid w:val="00343294"/>
    <w:rsid w:val="0034371F"/>
    <w:rsid w:val="00344867"/>
    <w:rsid w:val="003450F0"/>
    <w:rsid w:val="0034583E"/>
    <w:rsid w:val="00345A17"/>
    <w:rsid w:val="00345CBE"/>
    <w:rsid w:val="0034624A"/>
    <w:rsid w:val="00346B84"/>
    <w:rsid w:val="00346F81"/>
    <w:rsid w:val="00347047"/>
    <w:rsid w:val="003472F9"/>
    <w:rsid w:val="00347E14"/>
    <w:rsid w:val="003502F9"/>
    <w:rsid w:val="00351842"/>
    <w:rsid w:val="00351DA0"/>
    <w:rsid w:val="003522A3"/>
    <w:rsid w:val="00352395"/>
    <w:rsid w:val="00352FCC"/>
    <w:rsid w:val="003533DB"/>
    <w:rsid w:val="003535A0"/>
    <w:rsid w:val="003538D8"/>
    <w:rsid w:val="00353C55"/>
    <w:rsid w:val="00353D78"/>
    <w:rsid w:val="00353DC8"/>
    <w:rsid w:val="00354E01"/>
    <w:rsid w:val="00356B84"/>
    <w:rsid w:val="00356BA7"/>
    <w:rsid w:val="003570D3"/>
    <w:rsid w:val="00360301"/>
    <w:rsid w:val="003606F1"/>
    <w:rsid w:val="003611A7"/>
    <w:rsid w:val="003613A5"/>
    <w:rsid w:val="00361B2B"/>
    <w:rsid w:val="00362361"/>
    <w:rsid w:val="00362A5B"/>
    <w:rsid w:val="00363342"/>
    <w:rsid w:val="0036369B"/>
    <w:rsid w:val="00364106"/>
    <w:rsid w:val="003658F4"/>
    <w:rsid w:val="00366224"/>
    <w:rsid w:val="00366C1F"/>
    <w:rsid w:val="00366C48"/>
    <w:rsid w:val="00366DF1"/>
    <w:rsid w:val="0037017A"/>
    <w:rsid w:val="00370D71"/>
    <w:rsid w:val="00373A52"/>
    <w:rsid w:val="003749FB"/>
    <w:rsid w:val="00374CBD"/>
    <w:rsid w:val="00375995"/>
    <w:rsid w:val="00376C59"/>
    <w:rsid w:val="00380129"/>
    <w:rsid w:val="003802D0"/>
    <w:rsid w:val="003812BC"/>
    <w:rsid w:val="00382B43"/>
    <w:rsid w:val="0038412C"/>
    <w:rsid w:val="00384963"/>
    <w:rsid w:val="00384A8C"/>
    <w:rsid w:val="00384BA8"/>
    <w:rsid w:val="00384F6F"/>
    <w:rsid w:val="00385349"/>
    <w:rsid w:val="00385CBB"/>
    <w:rsid w:val="00386B45"/>
    <w:rsid w:val="00387463"/>
    <w:rsid w:val="00390974"/>
    <w:rsid w:val="00391433"/>
    <w:rsid w:val="00391C0D"/>
    <w:rsid w:val="00391F83"/>
    <w:rsid w:val="00391FC9"/>
    <w:rsid w:val="003924B1"/>
    <w:rsid w:val="00392702"/>
    <w:rsid w:val="00393468"/>
    <w:rsid w:val="00393FF9"/>
    <w:rsid w:val="00394F32"/>
    <w:rsid w:val="00395D1D"/>
    <w:rsid w:val="00397239"/>
    <w:rsid w:val="00397823"/>
    <w:rsid w:val="00397952"/>
    <w:rsid w:val="00397F76"/>
    <w:rsid w:val="003A060E"/>
    <w:rsid w:val="003A0857"/>
    <w:rsid w:val="003A28FE"/>
    <w:rsid w:val="003A2A35"/>
    <w:rsid w:val="003A3617"/>
    <w:rsid w:val="003A4FF9"/>
    <w:rsid w:val="003A53D1"/>
    <w:rsid w:val="003A543B"/>
    <w:rsid w:val="003A65C1"/>
    <w:rsid w:val="003A6FBE"/>
    <w:rsid w:val="003A7CFC"/>
    <w:rsid w:val="003B1E2C"/>
    <w:rsid w:val="003B210F"/>
    <w:rsid w:val="003B23F0"/>
    <w:rsid w:val="003B2ED4"/>
    <w:rsid w:val="003B2F64"/>
    <w:rsid w:val="003B3448"/>
    <w:rsid w:val="003B3A3F"/>
    <w:rsid w:val="003B4A9B"/>
    <w:rsid w:val="003B59E4"/>
    <w:rsid w:val="003B715B"/>
    <w:rsid w:val="003C19B0"/>
    <w:rsid w:val="003C1E50"/>
    <w:rsid w:val="003C3B79"/>
    <w:rsid w:val="003C3FA9"/>
    <w:rsid w:val="003C44D0"/>
    <w:rsid w:val="003C468B"/>
    <w:rsid w:val="003C57CC"/>
    <w:rsid w:val="003C5AA8"/>
    <w:rsid w:val="003C6821"/>
    <w:rsid w:val="003C75FA"/>
    <w:rsid w:val="003D0A05"/>
    <w:rsid w:val="003D0F3E"/>
    <w:rsid w:val="003D1260"/>
    <w:rsid w:val="003D17FF"/>
    <w:rsid w:val="003D18A9"/>
    <w:rsid w:val="003D1CEE"/>
    <w:rsid w:val="003D1D9B"/>
    <w:rsid w:val="003D2200"/>
    <w:rsid w:val="003D2F31"/>
    <w:rsid w:val="003D2F39"/>
    <w:rsid w:val="003D3205"/>
    <w:rsid w:val="003D38F6"/>
    <w:rsid w:val="003D3A5D"/>
    <w:rsid w:val="003D4D1E"/>
    <w:rsid w:val="003D5226"/>
    <w:rsid w:val="003D52CE"/>
    <w:rsid w:val="003D5FC5"/>
    <w:rsid w:val="003D6610"/>
    <w:rsid w:val="003D676E"/>
    <w:rsid w:val="003D689A"/>
    <w:rsid w:val="003D6D5D"/>
    <w:rsid w:val="003D7402"/>
    <w:rsid w:val="003E0522"/>
    <w:rsid w:val="003E08BE"/>
    <w:rsid w:val="003E0A78"/>
    <w:rsid w:val="003E137C"/>
    <w:rsid w:val="003E15E1"/>
    <w:rsid w:val="003E1685"/>
    <w:rsid w:val="003E199D"/>
    <w:rsid w:val="003E27F6"/>
    <w:rsid w:val="003E2C8E"/>
    <w:rsid w:val="003E3ECF"/>
    <w:rsid w:val="003E3F40"/>
    <w:rsid w:val="003E4B86"/>
    <w:rsid w:val="003E5277"/>
    <w:rsid w:val="003E5A76"/>
    <w:rsid w:val="003E659B"/>
    <w:rsid w:val="003E6A7E"/>
    <w:rsid w:val="003E786E"/>
    <w:rsid w:val="003E7894"/>
    <w:rsid w:val="003F0CEB"/>
    <w:rsid w:val="003F0D96"/>
    <w:rsid w:val="003F10B3"/>
    <w:rsid w:val="003F17A1"/>
    <w:rsid w:val="003F2033"/>
    <w:rsid w:val="003F2E44"/>
    <w:rsid w:val="003F3CA4"/>
    <w:rsid w:val="003F412E"/>
    <w:rsid w:val="003F469A"/>
    <w:rsid w:val="003F5857"/>
    <w:rsid w:val="003F656A"/>
    <w:rsid w:val="003F6A8A"/>
    <w:rsid w:val="003F6AF1"/>
    <w:rsid w:val="003F7268"/>
    <w:rsid w:val="004001F6"/>
    <w:rsid w:val="00401C1A"/>
    <w:rsid w:val="004020FE"/>
    <w:rsid w:val="00402B02"/>
    <w:rsid w:val="00402DCE"/>
    <w:rsid w:val="004031C8"/>
    <w:rsid w:val="00404C45"/>
    <w:rsid w:val="00404ED5"/>
    <w:rsid w:val="00405091"/>
    <w:rsid w:val="00405E14"/>
    <w:rsid w:val="0040605B"/>
    <w:rsid w:val="00406244"/>
    <w:rsid w:val="004063CB"/>
    <w:rsid w:val="004063FF"/>
    <w:rsid w:val="0040664A"/>
    <w:rsid w:val="004076E8"/>
    <w:rsid w:val="00407BCD"/>
    <w:rsid w:val="00407FF5"/>
    <w:rsid w:val="00410B9D"/>
    <w:rsid w:val="00411342"/>
    <w:rsid w:val="00411FB2"/>
    <w:rsid w:val="00412607"/>
    <w:rsid w:val="004127A7"/>
    <w:rsid w:val="00412AA7"/>
    <w:rsid w:val="0041327F"/>
    <w:rsid w:val="00414277"/>
    <w:rsid w:val="00414EC1"/>
    <w:rsid w:val="00414F65"/>
    <w:rsid w:val="00414F92"/>
    <w:rsid w:val="004159E3"/>
    <w:rsid w:val="00416575"/>
    <w:rsid w:val="00417732"/>
    <w:rsid w:val="004209F1"/>
    <w:rsid w:val="004217D4"/>
    <w:rsid w:val="004223E7"/>
    <w:rsid w:val="00422810"/>
    <w:rsid w:val="004235A7"/>
    <w:rsid w:val="00423DF2"/>
    <w:rsid w:val="004249CC"/>
    <w:rsid w:val="00425447"/>
    <w:rsid w:val="004255B3"/>
    <w:rsid w:val="00425675"/>
    <w:rsid w:val="004259E5"/>
    <w:rsid w:val="004262FC"/>
    <w:rsid w:val="00427BBB"/>
    <w:rsid w:val="00427D3F"/>
    <w:rsid w:val="0043161E"/>
    <w:rsid w:val="0043164D"/>
    <w:rsid w:val="00433CCF"/>
    <w:rsid w:val="00434967"/>
    <w:rsid w:val="0043549F"/>
    <w:rsid w:val="00435A43"/>
    <w:rsid w:val="004362FD"/>
    <w:rsid w:val="004369B5"/>
    <w:rsid w:val="00436BA1"/>
    <w:rsid w:val="0043792A"/>
    <w:rsid w:val="004413BB"/>
    <w:rsid w:val="00441568"/>
    <w:rsid w:val="004428AD"/>
    <w:rsid w:val="00444B36"/>
    <w:rsid w:val="00444B7B"/>
    <w:rsid w:val="00444BC3"/>
    <w:rsid w:val="00444D1D"/>
    <w:rsid w:val="0044578B"/>
    <w:rsid w:val="004457FB"/>
    <w:rsid w:val="00446431"/>
    <w:rsid w:val="004468E9"/>
    <w:rsid w:val="00446D07"/>
    <w:rsid w:val="00447055"/>
    <w:rsid w:val="00450806"/>
    <w:rsid w:val="00450F7C"/>
    <w:rsid w:val="00453DAA"/>
    <w:rsid w:val="00454295"/>
    <w:rsid w:val="00454391"/>
    <w:rsid w:val="004544B8"/>
    <w:rsid w:val="00454554"/>
    <w:rsid w:val="0045493B"/>
    <w:rsid w:val="00454EC2"/>
    <w:rsid w:val="00454F1D"/>
    <w:rsid w:val="0045561B"/>
    <w:rsid w:val="00455BA0"/>
    <w:rsid w:val="00456020"/>
    <w:rsid w:val="00456708"/>
    <w:rsid w:val="00456ABB"/>
    <w:rsid w:val="00461BF5"/>
    <w:rsid w:val="00462CFD"/>
    <w:rsid w:val="00462FD7"/>
    <w:rsid w:val="00464234"/>
    <w:rsid w:val="00464820"/>
    <w:rsid w:val="00464914"/>
    <w:rsid w:val="0046509F"/>
    <w:rsid w:val="00466284"/>
    <w:rsid w:val="00466746"/>
    <w:rsid w:val="00466843"/>
    <w:rsid w:val="00466A64"/>
    <w:rsid w:val="0046749A"/>
    <w:rsid w:val="00467A6F"/>
    <w:rsid w:val="0047064A"/>
    <w:rsid w:val="004724BD"/>
    <w:rsid w:val="0047305B"/>
    <w:rsid w:val="00473862"/>
    <w:rsid w:val="00474AC8"/>
    <w:rsid w:val="00474B31"/>
    <w:rsid w:val="004751B4"/>
    <w:rsid w:val="00475D22"/>
    <w:rsid w:val="00475EFA"/>
    <w:rsid w:val="00476C36"/>
    <w:rsid w:val="004770E2"/>
    <w:rsid w:val="00477109"/>
    <w:rsid w:val="0048125A"/>
    <w:rsid w:val="00481418"/>
    <w:rsid w:val="00481D24"/>
    <w:rsid w:val="004826AE"/>
    <w:rsid w:val="00482AC9"/>
    <w:rsid w:val="00484231"/>
    <w:rsid w:val="0048445B"/>
    <w:rsid w:val="004846B4"/>
    <w:rsid w:val="00484816"/>
    <w:rsid w:val="00485167"/>
    <w:rsid w:val="00485D86"/>
    <w:rsid w:val="0048719A"/>
    <w:rsid w:val="00487526"/>
    <w:rsid w:val="00487C50"/>
    <w:rsid w:val="00491FA3"/>
    <w:rsid w:val="00494CE9"/>
    <w:rsid w:val="00494D69"/>
    <w:rsid w:val="0049597F"/>
    <w:rsid w:val="004963D8"/>
    <w:rsid w:val="004969A6"/>
    <w:rsid w:val="00497355"/>
    <w:rsid w:val="004973E9"/>
    <w:rsid w:val="004A02EE"/>
    <w:rsid w:val="004A0B13"/>
    <w:rsid w:val="004A0BDA"/>
    <w:rsid w:val="004A0CB0"/>
    <w:rsid w:val="004A0D20"/>
    <w:rsid w:val="004A0EB4"/>
    <w:rsid w:val="004A1FA1"/>
    <w:rsid w:val="004A346C"/>
    <w:rsid w:val="004A4E12"/>
    <w:rsid w:val="004A5370"/>
    <w:rsid w:val="004A568A"/>
    <w:rsid w:val="004A5951"/>
    <w:rsid w:val="004A5BC2"/>
    <w:rsid w:val="004A6274"/>
    <w:rsid w:val="004A64F9"/>
    <w:rsid w:val="004A65AC"/>
    <w:rsid w:val="004A7F8E"/>
    <w:rsid w:val="004B0456"/>
    <w:rsid w:val="004B04F9"/>
    <w:rsid w:val="004B07C0"/>
    <w:rsid w:val="004B0869"/>
    <w:rsid w:val="004B26ED"/>
    <w:rsid w:val="004B2BFC"/>
    <w:rsid w:val="004B2C68"/>
    <w:rsid w:val="004B2FB1"/>
    <w:rsid w:val="004B334D"/>
    <w:rsid w:val="004B40F5"/>
    <w:rsid w:val="004B4332"/>
    <w:rsid w:val="004B4713"/>
    <w:rsid w:val="004B4BE0"/>
    <w:rsid w:val="004B5FBE"/>
    <w:rsid w:val="004B7538"/>
    <w:rsid w:val="004C0AF2"/>
    <w:rsid w:val="004C0E9D"/>
    <w:rsid w:val="004C1DF0"/>
    <w:rsid w:val="004C2421"/>
    <w:rsid w:val="004C31B4"/>
    <w:rsid w:val="004C34E6"/>
    <w:rsid w:val="004C41FD"/>
    <w:rsid w:val="004C4293"/>
    <w:rsid w:val="004C4B71"/>
    <w:rsid w:val="004C577F"/>
    <w:rsid w:val="004C5E03"/>
    <w:rsid w:val="004C70FE"/>
    <w:rsid w:val="004C7695"/>
    <w:rsid w:val="004C7A16"/>
    <w:rsid w:val="004C7E33"/>
    <w:rsid w:val="004C7EC4"/>
    <w:rsid w:val="004D0003"/>
    <w:rsid w:val="004D0220"/>
    <w:rsid w:val="004D0591"/>
    <w:rsid w:val="004D1033"/>
    <w:rsid w:val="004D127E"/>
    <w:rsid w:val="004D19DD"/>
    <w:rsid w:val="004D1A96"/>
    <w:rsid w:val="004D211A"/>
    <w:rsid w:val="004D2319"/>
    <w:rsid w:val="004D2A27"/>
    <w:rsid w:val="004D332E"/>
    <w:rsid w:val="004D3DB5"/>
    <w:rsid w:val="004D4678"/>
    <w:rsid w:val="004D4716"/>
    <w:rsid w:val="004D5BDE"/>
    <w:rsid w:val="004D5C74"/>
    <w:rsid w:val="004D616A"/>
    <w:rsid w:val="004D679F"/>
    <w:rsid w:val="004D7486"/>
    <w:rsid w:val="004E0177"/>
    <w:rsid w:val="004E0A00"/>
    <w:rsid w:val="004E0B4B"/>
    <w:rsid w:val="004E0C0B"/>
    <w:rsid w:val="004E1CA3"/>
    <w:rsid w:val="004E1D4C"/>
    <w:rsid w:val="004E1FD3"/>
    <w:rsid w:val="004E2443"/>
    <w:rsid w:val="004E3CD2"/>
    <w:rsid w:val="004E3D60"/>
    <w:rsid w:val="004E42B8"/>
    <w:rsid w:val="004E4438"/>
    <w:rsid w:val="004E67ED"/>
    <w:rsid w:val="004E6BA9"/>
    <w:rsid w:val="004E792A"/>
    <w:rsid w:val="004E79C9"/>
    <w:rsid w:val="004E7C44"/>
    <w:rsid w:val="004E7D92"/>
    <w:rsid w:val="004E7E98"/>
    <w:rsid w:val="004F0BE4"/>
    <w:rsid w:val="004F2AF3"/>
    <w:rsid w:val="004F2D71"/>
    <w:rsid w:val="004F3B4B"/>
    <w:rsid w:val="004F3C33"/>
    <w:rsid w:val="004F3CAA"/>
    <w:rsid w:val="004F3CB3"/>
    <w:rsid w:val="004F3E1F"/>
    <w:rsid w:val="004F3FA6"/>
    <w:rsid w:val="004F4401"/>
    <w:rsid w:val="004F45FC"/>
    <w:rsid w:val="004F48E4"/>
    <w:rsid w:val="004F4D30"/>
    <w:rsid w:val="004F4D38"/>
    <w:rsid w:val="004F4E07"/>
    <w:rsid w:val="004F5E99"/>
    <w:rsid w:val="004F687D"/>
    <w:rsid w:val="004F6CDA"/>
    <w:rsid w:val="004F6FD0"/>
    <w:rsid w:val="005002AA"/>
    <w:rsid w:val="00502793"/>
    <w:rsid w:val="005036AD"/>
    <w:rsid w:val="0050488A"/>
    <w:rsid w:val="00505B7D"/>
    <w:rsid w:val="00506DF3"/>
    <w:rsid w:val="0050773C"/>
    <w:rsid w:val="00507C57"/>
    <w:rsid w:val="00510967"/>
    <w:rsid w:val="00510D95"/>
    <w:rsid w:val="00510F96"/>
    <w:rsid w:val="0051169D"/>
    <w:rsid w:val="005117DB"/>
    <w:rsid w:val="00512024"/>
    <w:rsid w:val="005123E7"/>
    <w:rsid w:val="005129FA"/>
    <w:rsid w:val="00512C4A"/>
    <w:rsid w:val="00515405"/>
    <w:rsid w:val="00515DE9"/>
    <w:rsid w:val="00515E93"/>
    <w:rsid w:val="00515F79"/>
    <w:rsid w:val="00516063"/>
    <w:rsid w:val="005178F5"/>
    <w:rsid w:val="00517A1D"/>
    <w:rsid w:val="0052104E"/>
    <w:rsid w:val="005210B9"/>
    <w:rsid w:val="00521F28"/>
    <w:rsid w:val="0052273C"/>
    <w:rsid w:val="00522B31"/>
    <w:rsid w:val="005241A3"/>
    <w:rsid w:val="00524D8E"/>
    <w:rsid w:val="00524EC4"/>
    <w:rsid w:val="00525210"/>
    <w:rsid w:val="0052578A"/>
    <w:rsid w:val="00526042"/>
    <w:rsid w:val="00527441"/>
    <w:rsid w:val="00530970"/>
    <w:rsid w:val="00530A4C"/>
    <w:rsid w:val="00531307"/>
    <w:rsid w:val="0053141B"/>
    <w:rsid w:val="00531F4F"/>
    <w:rsid w:val="0053200B"/>
    <w:rsid w:val="005325EE"/>
    <w:rsid w:val="00532D63"/>
    <w:rsid w:val="0053370A"/>
    <w:rsid w:val="00533C2D"/>
    <w:rsid w:val="00534724"/>
    <w:rsid w:val="005350FB"/>
    <w:rsid w:val="00535595"/>
    <w:rsid w:val="0053566B"/>
    <w:rsid w:val="00535E27"/>
    <w:rsid w:val="005360E3"/>
    <w:rsid w:val="00537A1E"/>
    <w:rsid w:val="00537A27"/>
    <w:rsid w:val="005406E1"/>
    <w:rsid w:val="00540859"/>
    <w:rsid w:val="0054118B"/>
    <w:rsid w:val="00541950"/>
    <w:rsid w:val="0054227A"/>
    <w:rsid w:val="00542BDE"/>
    <w:rsid w:val="00542E26"/>
    <w:rsid w:val="0054302D"/>
    <w:rsid w:val="00543C3F"/>
    <w:rsid w:val="00544334"/>
    <w:rsid w:val="00544A6B"/>
    <w:rsid w:val="00544F35"/>
    <w:rsid w:val="0054678F"/>
    <w:rsid w:val="00546E25"/>
    <w:rsid w:val="00546FB5"/>
    <w:rsid w:val="00550E01"/>
    <w:rsid w:val="00550E0B"/>
    <w:rsid w:val="005514FD"/>
    <w:rsid w:val="0055296B"/>
    <w:rsid w:val="00552C60"/>
    <w:rsid w:val="00553473"/>
    <w:rsid w:val="00553498"/>
    <w:rsid w:val="0055494D"/>
    <w:rsid w:val="00556948"/>
    <w:rsid w:val="00556BE4"/>
    <w:rsid w:val="00556FBC"/>
    <w:rsid w:val="00556FCB"/>
    <w:rsid w:val="005571F9"/>
    <w:rsid w:val="0055770F"/>
    <w:rsid w:val="00557798"/>
    <w:rsid w:val="00557AF1"/>
    <w:rsid w:val="00560063"/>
    <w:rsid w:val="00560CB1"/>
    <w:rsid w:val="0056127F"/>
    <w:rsid w:val="005616FE"/>
    <w:rsid w:val="005619BA"/>
    <w:rsid w:val="00561AFA"/>
    <w:rsid w:val="00561EAE"/>
    <w:rsid w:val="005627E2"/>
    <w:rsid w:val="00563F26"/>
    <w:rsid w:val="005645AD"/>
    <w:rsid w:val="005649E1"/>
    <w:rsid w:val="00564B25"/>
    <w:rsid w:val="00564BE8"/>
    <w:rsid w:val="00565CCA"/>
    <w:rsid w:val="00565E69"/>
    <w:rsid w:val="005665E3"/>
    <w:rsid w:val="00566952"/>
    <w:rsid w:val="005673EB"/>
    <w:rsid w:val="00567E6B"/>
    <w:rsid w:val="005703F2"/>
    <w:rsid w:val="00570C42"/>
    <w:rsid w:val="00570FF1"/>
    <w:rsid w:val="00571A90"/>
    <w:rsid w:val="00571D7E"/>
    <w:rsid w:val="00571E9D"/>
    <w:rsid w:val="00572276"/>
    <w:rsid w:val="00572D0D"/>
    <w:rsid w:val="00572DDE"/>
    <w:rsid w:val="0057301F"/>
    <w:rsid w:val="0057319E"/>
    <w:rsid w:val="00573DD0"/>
    <w:rsid w:val="0057417C"/>
    <w:rsid w:val="00574687"/>
    <w:rsid w:val="005752F7"/>
    <w:rsid w:val="005759A1"/>
    <w:rsid w:val="005764E6"/>
    <w:rsid w:val="00576A93"/>
    <w:rsid w:val="00577336"/>
    <w:rsid w:val="005805BF"/>
    <w:rsid w:val="00581A4C"/>
    <w:rsid w:val="00581E2C"/>
    <w:rsid w:val="005820E7"/>
    <w:rsid w:val="0058483C"/>
    <w:rsid w:val="00584D0A"/>
    <w:rsid w:val="00584F33"/>
    <w:rsid w:val="00586D25"/>
    <w:rsid w:val="005875CA"/>
    <w:rsid w:val="0058763E"/>
    <w:rsid w:val="0059002C"/>
    <w:rsid w:val="00590373"/>
    <w:rsid w:val="005908AD"/>
    <w:rsid w:val="0059110F"/>
    <w:rsid w:val="005916D5"/>
    <w:rsid w:val="00591DC0"/>
    <w:rsid w:val="005920F6"/>
    <w:rsid w:val="00592193"/>
    <w:rsid w:val="00593924"/>
    <w:rsid w:val="00593A70"/>
    <w:rsid w:val="00594767"/>
    <w:rsid w:val="00594779"/>
    <w:rsid w:val="0059529F"/>
    <w:rsid w:val="00595492"/>
    <w:rsid w:val="00595501"/>
    <w:rsid w:val="005955D8"/>
    <w:rsid w:val="005974BF"/>
    <w:rsid w:val="00597614"/>
    <w:rsid w:val="005A0DB7"/>
    <w:rsid w:val="005A32DC"/>
    <w:rsid w:val="005A5227"/>
    <w:rsid w:val="005A5BCC"/>
    <w:rsid w:val="005A5F91"/>
    <w:rsid w:val="005A71B2"/>
    <w:rsid w:val="005B003D"/>
    <w:rsid w:val="005B06B3"/>
    <w:rsid w:val="005B291D"/>
    <w:rsid w:val="005B31DB"/>
    <w:rsid w:val="005B3D10"/>
    <w:rsid w:val="005B47E6"/>
    <w:rsid w:val="005B4A4F"/>
    <w:rsid w:val="005B4C74"/>
    <w:rsid w:val="005B557B"/>
    <w:rsid w:val="005B5701"/>
    <w:rsid w:val="005B5805"/>
    <w:rsid w:val="005B60D4"/>
    <w:rsid w:val="005B61C2"/>
    <w:rsid w:val="005B6966"/>
    <w:rsid w:val="005C0A63"/>
    <w:rsid w:val="005C1A78"/>
    <w:rsid w:val="005C2687"/>
    <w:rsid w:val="005C274F"/>
    <w:rsid w:val="005C2C95"/>
    <w:rsid w:val="005C3582"/>
    <w:rsid w:val="005C4B6B"/>
    <w:rsid w:val="005C5B6C"/>
    <w:rsid w:val="005C60ED"/>
    <w:rsid w:val="005C7347"/>
    <w:rsid w:val="005C7676"/>
    <w:rsid w:val="005D1708"/>
    <w:rsid w:val="005D337D"/>
    <w:rsid w:val="005D3D7F"/>
    <w:rsid w:val="005D4F9B"/>
    <w:rsid w:val="005D5089"/>
    <w:rsid w:val="005D51AF"/>
    <w:rsid w:val="005D56BC"/>
    <w:rsid w:val="005D6828"/>
    <w:rsid w:val="005D6E69"/>
    <w:rsid w:val="005D6F55"/>
    <w:rsid w:val="005D731F"/>
    <w:rsid w:val="005D7424"/>
    <w:rsid w:val="005E0392"/>
    <w:rsid w:val="005E04C5"/>
    <w:rsid w:val="005E2084"/>
    <w:rsid w:val="005E24FC"/>
    <w:rsid w:val="005E2B74"/>
    <w:rsid w:val="005E38C1"/>
    <w:rsid w:val="005E3D69"/>
    <w:rsid w:val="005E3E46"/>
    <w:rsid w:val="005E4282"/>
    <w:rsid w:val="005E7F49"/>
    <w:rsid w:val="005F0279"/>
    <w:rsid w:val="005F0B8A"/>
    <w:rsid w:val="005F0F4A"/>
    <w:rsid w:val="005F1C9A"/>
    <w:rsid w:val="005F1FD2"/>
    <w:rsid w:val="005F28F8"/>
    <w:rsid w:val="005F30AA"/>
    <w:rsid w:val="005F4A1B"/>
    <w:rsid w:val="005F60F0"/>
    <w:rsid w:val="005F65C0"/>
    <w:rsid w:val="005F67B9"/>
    <w:rsid w:val="005F7150"/>
    <w:rsid w:val="005F7177"/>
    <w:rsid w:val="005F719A"/>
    <w:rsid w:val="005F78E3"/>
    <w:rsid w:val="005F7F4D"/>
    <w:rsid w:val="00600A4F"/>
    <w:rsid w:val="00600BC1"/>
    <w:rsid w:val="006018B9"/>
    <w:rsid w:val="00602483"/>
    <w:rsid w:val="00602696"/>
    <w:rsid w:val="0060281A"/>
    <w:rsid w:val="00602BAA"/>
    <w:rsid w:val="00603420"/>
    <w:rsid w:val="00603969"/>
    <w:rsid w:val="00605434"/>
    <w:rsid w:val="00605AE9"/>
    <w:rsid w:val="00606008"/>
    <w:rsid w:val="00606859"/>
    <w:rsid w:val="00606CEC"/>
    <w:rsid w:val="006078B9"/>
    <w:rsid w:val="00610645"/>
    <w:rsid w:val="00611445"/>
    <w:rsid w:val="0061168E"/>
    <w:rsid w:val="00611814"/>
    <w:rsid w:val="00611CBE"/>
    <w:rsid w:val="0061215B"/>
    <w:rsid w:val="006125FB"/>
    <w:rsid w:val="00612634"/>
    <w:rsid w:val="00613FA6"/>
    <w:rsid w:val="00615365"/>
    <w:rsid w:val="00615F1F"/>
    <w:rsid w:val="006161E0"/>
    <w:rsid w:val="0061627C"/>
    <w:rsid w:val="00616FE9"/>
    <w:rsid w:val="0061772B"/>
    <w:rsid w:val="00617A2F"/>
    <w:rsid w:val="00617E07"/>
    <w:rsid w:val="00620804"/>
    <w:rsid w:val="00620CA3"/>
    <w:rsid w:val="00621455"/>
    <w:rsid w:val="00621E7D"/>
    <w:rsid w:val="0062209B"/>
    <w:rsid w:val="0062283D"/>
    <w:rsid w:val="00623C9E"/>
    <w:rsid w:val="0062552A"/>
    <w:rsid w:val="0062660C"/>
    <w:rsid w:val="00626EC1"/>
    <w:rsid w:val="00627C22"/>
    <w:rsid w:val="006300BC"/>
    <w:rsid w:val="00630F97"/>
    <w:rsid w:val="006313DB"/>
    <w:rsid w:val="006314E7"/>
    <w:rsid w:val="006324EA"/>
    <w:rsid w:val="00632623"/>
    <w:rsid w:val="00632ECF"/>
    <w:rsid w:val="00633275"/>
    <w:rsid w:val="00633A13"/>
    <w:rsid w:val="00633D9C"/>
    <w:rsid w:val="00634009"/>
    <w:rsid w:val="00634233"/>
    <w:rsid w:val="0063489C"/>
    <w:rsid w:val="00634A62"/>
    <w:rsid w:val="00634ABE"/>
    <w:rsid w:val="006365C4"/>
    <w:rsid w:val="00636B59"/>
    <w:rsid w:val="0063713B"/>
    <w:rsid w:val="0063731C"/>
    <w:rsid w:val="00637B45"/>
    <w:rsid w:val="0064072A"/>
    <w:rsid w:val="0064206A"/>
    <w:rsid w:val="00642280"/>
    <w:rsid w:val="006456CC"/>
    <w:rsid w:val="006458D4"/>
    <w:rsid w:val="0064735D"/>
    <w:rsid w:val="00650110"/>
    <w:rsid w:val="00650613"/>
    <w:rsid w:val="0065095D"/>
    <w:rsid w:val="00650CC5"/>
    <w:rsid w:val="00650F9F"/>
    <w:rsid w:val="00651C9B"/>
    <w:rsid w:val="006528C3"/>
    <w:rsid w:val="00652AD0"/>
    <w:rsid w:val="00652B8B"/>
    <w:rsid w:val="0065517A"/>
    <w:rsid w:val="00656431"/>
    <w:rsid w:val="0065651E"/>
    <w:rsid w:val="00656916"/>
    <w:rsid w:val="00656DA6"/>
    <w:rsid w:val="006575BB"/>
    <w:rsid w:val="0065783F"/>
    <w:rsid w:val="00661BA8"/>
    <w:rsid w:val="00662348"/>
    <w:rsid w:val="00662691"/>
    <w:rsid w:val="00663209"/>
    <w:rsid w:val="006643EE"/>
    <w:rsid w:val="006670C5"/>
    <w:rsid w:val="00670174"/>
    <w:rsid w:val="00670C69"/>
    <w:rsid w:val="006711C5"/>
    <w:rsid w:val="00671A52"/>
    <w:rsid w:val="00673420"/>
    <w:rsid w:val="00673AAF"/>
    <w:rsid w:val="00674DD5"/>
    <w:rsid w:val="00674F4E"/>
    <w:rsid w:val="00675CAA"/>
    <w:rsid w:val="00675E9D"/>
    <w:rsid w:val="00676239"/>
    <w:rsid w:val="006807A7"/>
    <w:rsid w:val="0068259F"/>
    <w:rsid w:val="006825CC"/>
    <w:rsid w:val="00683DED"/>
    <w:rsid w:val="00683E6F"/>
    <w:rsid w:val="006846FD"/>
    <w:rsid w:val="00685A7E"/>
    <w:rsid w:val="0068616A"/>
    <w:rsid w:val="006861B3"/>
    <w:rsid w:val="006864C6"/>
    <w:rsid w:val="00686CAC"/>
    <w:rsid w:val="00686F28"/>
    <w:rsid w:val="00687C01"/>
    <w:rsid w:val="00687DE3"/>
    <w:rsid w:val="0069004F"/>
    <w:rsid w:val="0069056E"/>
    <w:rsid w:val="006909B6"/>
    <w:rsid w:val="00690E72"/>
    <w:rsid w:val="006910BA"/>
    <w:rsid w:val="00691768"/>
    <w:rsid w:val="00691788"/>
    <w:rsid w:val="00692352"/>
    <w:rsid w:val="00692940"/>
    <w:rsid w:val="00692B7C"/>
    <w:rsid w:val="0069343D"/>
    <w:rsid w:val="00693A38"/>
    <w:rsid w:val="00694240"/>
    <w:rsid w:val="006943B3"/>
    <w:rsid w:val="00694C33"/>
    <w:rsid w:val="0069572B"/>
    <w:rsid w:val="006958FD"/>
    <w:rsid w:val="00695DFD"/>
    <w:rsid w:val="0069725A"/>
    <w:rsid w:val="0069734D"/>
    <w:rsid w:val="0069776A"/>
    <w:rsid w:val="0069783C"/>
    <w:rsid w:val="00697A93"/>
    <w:rsid w:val="00697AF5"/>
    <w:rsid w:val="006A0111"/>
    <w:rsid w:val="006A0153"/>
    <w:rsid w:val="006A0203"/>
    <w:rsid w:val="006A0867"/>
    <w:rsid w:val="006A12B6"/>
    <w:rsid w:val="006A15ED"/>
    <w:rsid w:val="006A171D"/>
    <w:rsid w:val="006A1AAE"/>
    <w:rsid w:val="006A2337"/>
    <w:rsid w:val="006A25A7"/>
    <w:rsid w:val="006A2908"/>
    <w:rsid w:val="006A4287"/>
    <w:rsid w:val="006A5A45"/>
    <w:rsid w:val="006A5AD0"/>
    <w:rsid w:val="006A5B92"/>
    <w:rsid w:val="006A620E"/>
    <w:rsid w:val="006A6FED"/>
    <w:rsid w:val="006A7360"/>
    <w:rsid w:val="006A7DDB"/>
    <w:rsid w:val="006B1163"/>
    <w:rsid w:val="006B224B"/>
    <w:rsid w:val="006B24C5"/>
    <w:rsid w:val="006B274B"/>
    <w:rsid w:val="006B2CC9"/>
    <w:rsid w:val="006B3279"/>
    <w:rsid w:val="006B58E8"/>
    <w:rsid w:val="006B6723"/>
    <w:rsid w:val="006B67A8"/>
    <w:rsid w:val="006B6956"/>
    <w:rsid w:val="006B6EB4"/>
    <w:rsid w:val="006B7B9A"/>
    <w:rsid w:val="006B7FEE"/>
    <w:rsid w:val="006C035A"/>
    <w:rsid w:val="006C091E"/>
    <w:rsid w:val="006C0DE3"/>
    <w:rsid w:val="006C1AD2"/>
    <w:rsid w:val="006C1BC7"/>
    <w:rsid w:val="006C23AE"/>
    <w:rsid w:val="006C256B"/>
    <w:rsid w:val="006C4092"/>
    <w:rsid w:val="006C45AA"/>
    <w:rsid w:val="006C4CD0"/>
    <w:rsid w:val="006D00B8"/>
    <w:rsid w:val="006D03CD"/>
    <w:rsid w:val="006D0C94"/>
    <w:rsid w:val="006D3840"/>
    <w:rsid w:val="006D4E86"/>
    <w:rsid w:val="006D4F60"/>
    <w:rsid w:val="006D6AFA"/>
    <w:rsid w:val="006D6C9D"/>
    <w:rsid w:val="006D6CC2"/>
    <w:rsid w:val="006D7745"/>
    <w:rsid w:val="006E0305"/>
    <w:rsid w:val="006E0A1E"/>
    <w:rsid w:val="006E0A4C"/>
    <w:rsid w:val="006E172A"/>
    <w:rsid w:val="006E27A5"/>
    <w:rsid w:val="006E2CA1"/>
    <w:rsid w:val="006E2FA1"/>
    <w:rsid w:val="006E349F"/>
    <w:rsid w:val="006E39F9"/>
    <w:rsid w:val="006E4AA0"/>
    <w:rsid w:val="006E5A4D"/>
    <w:rsid w:val="006E61E6"/>
    <w:rsid w:val="006E6563"/>
    <w:rsid w:val="006E6A19"/>
    <w:rsid w:val="006E6DDE"/>
    <w:rsid w:val="006E7ABB"/>
    <w:rsid w:val="006F126A"/>
    <w:rsid w:val="006F160B"/>
    <w:rsid w:val="006F51DD"/>
    <w:rsid w:val="006F539F"/>
    <w:rsid w:val="006F6393"/>
    <w:rsid w:val="006F6E29"/>
    <w:rsid w:val="006F75E2"/>
    <w:rsid w:val="006F780D"/>
    <w:rsid w:val="006F79A3"/>
    <w:rsid w:val="006F7B5E"/>
    <w:rsid w:val="006F7DCB"/>
    <w:rsid w:val="0070126E"/>
    <w:rsid w:val="00701799"/>
    <w:rsid w:val="00701DE2"/>
    <w:rsid w:val="00702037"/>
    <w:rsid w:val="00702CAA"/>
    <w:rsid w:val="007045C4"/>
    <w:rsid w:val="00704A94"/>
    <w:rsid w:val="007064E3"/>
    <w:rsid w:val="00707490"/>
    <w:rsid w:val="007074D2"/>
    <w:rsid w:val="007075A8"/>
    <w:rsid w:val="00707CA4"/>
    <w:rsid w:val="007106F1"/>
    <w:rsid w:val="00710AC4"/>
    <w:rsid w:val="00711870"/>
    <w:rsid w:val="00711971"/>
    <w:rsid w:val="00711B9F"/>
    <w:rsid w:val="007122DF"/>
    <w:rsid w:val="007128A0"/>
    <w:rsid w:val="0071319B"/>
    <w:rsid w:val="00713D0D"/>
    <w:rsid w:val="00714245"/>
    <w:rsid w:val="0071640E"/>
    <w:rsid w:val="00716570"/>
    <w:rsid w:val="0071701C"/>
    <w:rsid w:val="00717354"/>
    <w:rsid w:val="00717543"/>
    <w:rsid w:val="007200AF"/>
    <w:rsid w:val="007202BE"/>
    <w:rsid w:val="007207EF"/>
    <w:rsid w:val="007208DF"/>
    <w:rsid w:val="00720C06"/>
    <w:rsid w:val="00720F19"/>
    <w:rsid w:val="00721470"/>
    <w:rsid w:val="0072184C"/>
    <w:rsid w:val="00721D8B"/>
    <w:rsid w:val="007229EE"/>
    <w:rsid w:val="00722D81"/>
    <w:rsid w:val="00724913"/>
    <w:rsid w:val="00724F62"/>
    <w:rsid w:val="00725CF4"/>
    <w:rsid w:val="00725FB6"/>
    <w:rsid w:val="00727C39"/>
    <w:rsid w:val="0072D632"/>
    <w:rsid w:val="00730C9F"/>
    <w:rsid w:val="00730D3B"/>
    <w:rsid w:val="00731C53"/>
    <w:rsid w:val="007323DA"/>
    <w:rsid w:val="007339C3"/>
    <w:rsid w:val="00733E5A"/>
    <w:rsid w:val="007342C4"/>
    <w:rsid w:val="007347AE"/>
    <w:rsid w:val="007349B2"/>
    <w:rsid w:val="0073545B"/>
    <w:rsid w:val="007356BD"/>
    <w:rsid w:val="007357E9"/>
    <w:rsid w:val="00735DF4"/>
    <w:rsid w:val="0073634A"/>
    <w:rsid w:val="00736593"/>
    <w:rsid w:val="00736FBF"/>
    <w:rsid w:val="007373DE"/>
    <w:rsid w:val="007374F9"/>
    <w:rsid w:val="007375D5"/>
    <w:rsid w:val="00737FB9"/>
    <w:rsid w:val="00740379"/>
    <w:rsid w:val="007406F7"/>
    <w:rsid w:val="00740A6C"/>
    <w:rsid w:val="00740EEA"/>
    <w:rsid w:val="007426C3"/>
    <w:rsid w:val="007427F8"/>
    <w:rsid w:val="00742940"/>
    <w:rsid w:val="00743100"/>
    <w:rsid w:val="0074315F"/>
    <w:rsid w:val="00744A37"/>
    <w:rsid w:val="00745914"/>
    <w:rsid w:val="00746A24"/>
    <w:rsid w:val="00746FD8"/>
    <w:rsid w:val="00750FAC"/>
    <w:rsid w:val="00751802"/>
    <w:rsid w:val="00751B46"/>
    <w:rsid w:val="00751C2A"/>
    <w:rsid w:val="00751F10"/>
    <w:rsid w:val="00752AA2"/>
    <w:rsid w:val="007533D3"/>
    <w:rsid w:val="00754182"/>
    <w:rsid w:val="00754396"/>
    <w:rsid w:val="0075550E"/>
    <w:rsid w:val="007569C4"/>
    <w:rsid w:val="00756A4A"/>
    <w:rsid w:val="00756CFB"/>
    <w:rsid w:val="00757C39"/>
    <w:rsid w:val="00757D0F"/>
    <w:rsid w:val="0076093C"/>
    <w:rsid w:val="00760FBA"/>
    <w:rsid w:val="007614A4"/>
    <w:rsid w:val="00761737"/>
    <w:rsid w:val="0076179A"/>
    <w:rsid w:val="007619A5"/>
    <w:rsid w:val="00762536"/>
    <w:rsid w:val="007629E8"/>
    <w:rsid w:val="007632F7"/>
    <w:rsid w:val="00764008"/>
    <w:rsid w:val="00766196"/>
    <w:rsid w:val="00766880"/>
    <w:rsid w:val="00766F9F"/>
    <w:rsid w:val="00766FE2"/>
    <w:rsid w:val="00767229"/>
    <w:rsid w:val="007674E3"/>
    <w:rsid w:val="007675F3"/>
    <w:rsid w:val="0076781C"/>
    <w:rsid w:val="00767E39"/>
    <w:rsid w:val="00770829"/>
    <w:rsid w:val="007709FE"/>
    <w:rsid w:val="00770ED3"/>
    <w:rsid w:val="00771042"/>
    <w:rsid w:val="00771D40"/>
    <w:rsid w:val="00771E9C"/>
    <w:rsid w:val="00772132"/>
    <w:rsid w:val="00772329"/>
    <w:rsid w:val="007739FC"/>
    <w:rsid w:val="00774659"/>
    <w:rsid w:val="00774A13"/>
    <w:rsid w:val="00774ED9"/>
    <w:rsid w:val="00776289"/>
    <w:rsid w:val="0077654B"/>
    <w:rsid w:val="00776934"/>
    <w:rsid w:val="00777E76"/>
    <w:rsid w:val="00777F80"/>
    <w:rsid w:val="007802FB"/>
    <w:rsid w:val="0078070B"/>
    <w:rsid w:val="00780BB9"/>
    <w:rsid w:val="007826C2"/>
    <w:rsid w:val="007828B6"/>
    <w:rsid w:val="00782969"/>
    <w:rsid w:val="007829BD"/>
    <w:rsid w:val="00782C0C"/>
    <w:rsid w:val="0078304D"/>
    <w:rsid w:val="007836B9"/>
    <w:rsid w:val="00785038"/>
    <w:rsid w:val="007850D4"/>
    <w:rsid w:val="00785A6B"/>
    <w:rsid w:val="00785DD9"/>
    <w:rsid w:val="00786ECC"/>
    <w:rsid w:val="0078700D"/>
    <w:rsid w:val="0078728C"/>
    <w:rsid w:val="00787C23"/>
    <w:rsid w:val="00790689"/>
    <w:rsid w:val="00790AC1"/>
    <w:rsid w:val="00790DF7"/>
    <w:rsid w:val="00790F27"/>
    <w:rsid w:val="007914D8"/>
    <w:rsid w:val="00791815"/>
    <w:rsid w:val="00791B92"/>
    <w:rsid w:val="00792CE2"/>
    <w:rsid w:val="00792DE6"/>
    <w:rsid w:val="00793604"/>
    <w:rsid w:val="00793778"/>
    <w:rsid w:val="007940AD"/>
    <w:rsid w:val="00794A11"/>
    <w:rsid w:val="00795078"/>
    <w:rsid w:val="00795617"/>
    <w:rsid w:val="00795B7E"/>
    <w:rsid w:val="0079617B"/>
    <w:rsid w:val="0079660F"/>
    <w:rsid w:val="0079727C"/>
    <w:rsid w:val="007A0B66"/>
    <w:rsid w:val="007A0B81"/>
    <w:rsid w:val="007A0F62"/>
    <w:rsid w:val="007A1996"/>
    <w:rsid w:val="007A1CD6"/>
    <w:rsid w:val="007A3106"/>
    <w:rsid w:val="007A3D3E"/>
    <w:rsid w:val="007A4CEE"/>
    <w:rsid w:val="007A6044"/>
    <w:rsid w:val="007A62F4"/>
    <w:rsid w:val="007A6581"/>
    <w:rsid w:val="007A6617"/>
    <w:rsid w:val="007A6696"/>
    <w:rsid w:val="007A7836"/>
    <w:rsid w:val="007B1CBF"/>
    <w:rsid w:val="007B251E"/>
    <w:rsid w:val="007B46E9"/>
    <w:rsid w:val="007B666D"/>
    <w:rsid w:val="007B7146"/>
    <w:rsid w:val="007B7755"/>
    <w:rsid w:val="007C01EF"/>
    <w:rsid w:val="007C02A9"/>
    <w:rsid w:val="007C257D"/>
    <w:rsid w:val="007C3499"/>
    <w:rsid w:val="007C393F"/>
    <w:rsid w:val="007C4330"/>
    <w:rsid w:val="007C47C7"/>
    <w:rsid w:val="007C578F"/>
    <w:rsid w:val="007C5EDF"/>
    <w:rsid w:val="007C6D69"/>
    <w:rsid w:val="007C7CD8"/>
    <w:rsid w:val="007D0B89"/>
    <w:rsid w:val="007D1850"/>
    <w:rsid w:val="007D20AB"/>
    <w:rsid w:val="007D2D7F"/>
    <w:rsid w:val="007D2E29"/>
    <w:rsid w:val="007D362A"/>
    <w:rsid w:val="007D43FA"/>
    <w:rsid w:val="007D44EB"/>
    <w:rsid w:val="007D4883"/>
    <w:rsid w:val="007D5A8A"/>
    <w:rsid w:val="007D6433"/>
    <w:rsid w:val="007D6792"/>
    <w:rsid w:val="007D6F69"/>
    <w:rsid w:val="007D77F0"/>
    <w:rsid w:val="007E0789"/>
    <w:rsid w:val="007E1136"/>
    <w:rsid w:val="007E25C1"/>
    <w:rsid w:val="007E3228"/>
    <w:rsid w:val="007E371F"/>
    <w:rsid w:val="007E3C3E"/>
    <w:rsid w:val="007E4178"/>
    <w:rsid w:val="007E479A"/>
    <w:rsid w:val="007E49F1"/>
    <w:rsid w:val="007E4D3F"/>
    <w:rsid w:val="007E6B02"/>
    <w:rsid w:val="007F0167"/>
    <w:rsid w:val="007F2294"/>
    <w:rsid w:val="007F27D6"/>
    <w:rsid w:val="007F2AEF"/>
    <w:rsid w:val="007F3552"/>
    <w:rsid w:val="007F360D"/>
    <w:rsid w:val="007F37D0"/>
    <w:rsid w:val="007F3DE4"/>
    <w:rsid w:val="007F4956"/>
    <w:rsid w:val="007F560B"/>
    <w:rsid w:val="007F7B31"/>
    <w:rsid w:val="007F7C69"/>
    <w:rsid w:val="0080092D"/>
    <w:rsid w:val="00800B17"/>
    <w:rsid w:val="00801002"/>
    <w:rsid w:val="00801274"/>
    <w:rsid w:val="008018D2"/>
    <w:rsid w:val="008032AF"/>
    <w:rsid w:val="0080458A"/>
    <w:rsid w:val="0080504C"/>
    <w:rsid w:val="0080604B"/>
    <w:rsid w:val="00807634"/>
    <w:rsid w:val="00807BAA"/>
    <w:rsid w:val="00810206"/>
    <w:rsid w:val="008102F5"/>
    <w:rsid w:val="00810ACE"/>
    <w:rsid w:val="00811115"/>
    <w:rsid w:val="008116B2"/>
    <w:rsid w:val="0081261F"/>
    <w:rsid w:val="00813D8F"/>
    <w:rsid w:val="00813DAC"/>
    <w:rsid w:val="0081462C"/>
    <w:rsid w:val="00814B52"/>
    <w:rsid w:val="0081543C"/>
    <w:rsid w:val="00815900"/>
    <w:rsid w:val="008160CA"/>
    <w:rsid w:val="008169DB"/>
    <w:rsid w:val="00817E96"/>
    <w:rsid w:val="00817EAE"/>
    <w:rsid w:val="0082044A"/>
    <w:rsid w:val="008213FD"/>
    <w:rsid w:val="00821B1D"/>
    <w:rsid w:val="00822B30"/>
    <w:rsid w:val="0082381C"/>
    <w:rsid w:val="00824A35"/>
    <w:rsid w:val="0082502C"/>
    <w:rsid w:val="008254D8"/>
    <w:rsid w:val="00825DAF"/>
    <w:rsid w:val="00827159"/>
    <w:rsid w:val="00827B6A"/>
    <w:rsid w:val="00827C7A"/>
    <w:rsid w:val="00830627"/>
    <w:rsid w:val="00830B62"/>
    <w:rsid w:val="00830CB8"/>
    <w:rsid w:val="00830FDC"/>
    <w:rsid w:val="008326CB"/>
    <w:rsid w:val="00832C74"/>
    <w:rsid w:val="008346EB"/>
    <w:rsid w:val="00834857"/>
    <w:rsid w:val="008355FF"/>
    <w:rsid w:val="0083687C"/>
    <w:rsid w:val="00836C59"/>
    <w:rsid w:val="00836F05"/>
    <w:rsid w:val="00837738"/>
    <w:rsid w:val="00840E13"/>
    <w:rsid w:val="00841294"/>
    <w:rsid w:val="00841562"/>
    <w:rsid w:val="008417CB"/>
    <w:rsid w:val="008419E6"/>
    <w:rsid w:val="00841E4A"/>
    <w:rsid w:val="00842556"/>
    <w:rsid w:val="008425C1"/>
    <w:rsid w:val="00842D7B"/>
    <w:rsid w:val="00842D84"/>
    <w:rsid w:val="00843085"/>
    <w:rsid w:val="008433A8"/>
    <w:rsid w:val="00843569"/>
    <w:rsid w:val="008437BA"/>
    <w:rsid w:val="00843FE3"/>
    <w:rsid w:val="00844EBE"/>
    <w:rsid w:val="00844EE3"/>
    <w:rsid w:val="0084566D"/>
    <w:rsid w:val="0084568C"/>
    <w:rsid w:val="00845BE5"/>
    <w:rsid w:val="00845E05"/>
    <w:rsid w:val="00845E7A"/>
    <w:rsid w:val="00847448"/>
    <w:rsid w:val="00847F52"/>
    <w:rsid w:val="00850455"/>
    <w:rsid w:val="00850655"/>
    <w:rsid w:val="00850E11"/>
    <w:rsid w:val="008516DE"/>
    <w:rsid w:val="00852019"/>
    <w:rsid w:val="008521BF"/>
    <w:rsid w:val="00852359"/>
    <w:rsid w:val="008523E1"/>
    <w:rsid w:val="00852445"/>
    <w:rsid w:val="00853458"/>
    <w:rsid w:val="00853C8A"/>
    <w:rsid w:val="00854384"/>
    <w:rsid w:val="0085686B"/>
    <w:rsid w:val="00857071"/>
    <w:rsid w:val="0085728C"/>
    <w:rsid w:val="008576C5"/>
    <w:rsid w:val="0086049B"/>
    <w:rsid w:val="00860690"/>
    <w:rsid w:val="00860708"/>
    <w:rsid w:val="00861142"/>
    <w:rsid w:val="008619FB"/>
    <w:rsid w:val="00861A46"/>
    <w:rsid w:val="00861F82"/>
    <w:rsid w:val="0086242A"/>
    <w:rsid w:val="00863091"/>
    <w:rsid w:val="00863160"/>
    <w:rsid w:val="00863D1F"/>
    <w:rsid w:val="008648B1"/>
    <w:rsid w:val="00864F49"/>
    <w:rsid w:val="00866DF9"/>
    <w:rsid w:val="008677A7"/>
    <w:rsid w:val="00870AD6"/>
    <w:rsid w:val="00871034"/>
    <w:rsid w:val="008713BE"/>
    <w:rsid w:val="00872D24"/>
    <w:rsid w:val="00875843"/>
    <w:rsid w:val="00875F5B"/>
    <w:rsid w:val="00877051"/>
    <w:rsid w:val="008777A2"/>
    <w:rsid w:val="008778F6"/>
    <w:rsid w:val="008779DC"/>
    <w:rsid w:val="00877EC7"/>
    <w:rsid w:val="00877F59"/>
    <w:rsid w:val="00881C74"/>
    <w:rsid w:val="00882298"/>
    <w:rsid w:val="008829AA"/>
    <w:rsid w:val="00885C8D"/>
    <w:rsid w:val="0088644C"/>
    <w:rsid w:val="00886611"/>
    <w:rsid w:val="00886989"/>
    <w:rsid w:val="00886C67"/>
    <w:rsid w:val="00887163"/>
    <w:rsid w:val="008879C9"/>
    <w:rsid w:val="0089040E"/>
    <w:rsid w:val="00890497"/>
    <w:rsid w:val="00890BB3"/>
    <w:rsid w:val="008910F2"/>
    <w:rsid w:val="00891BC0"/>
    <w:rsid w:val="00893251"/>
    <w:rsid w:val="008944F2"/>
    <w:rsid w:val="0089456B"/>
    <w:rsid w:val="00895066"/>
    <w:rsid w:val="00895343"/>
    <w:rsid w:val="00895BC3"/>
    <w:rsid w:val="00897CB5"/>
    <w:rsid w:val="00897CFA"/>
    <w:rsid w:val="00897DAD"/>
    <w:rsid w:val="008A0532"/>
    <w:rsid w:val="008A1933"/>
    <w:rsid w:val="008A237D"/>
    <w:rsid w:val="008A2A59"/>
    <w:rsid w:val="008A2B5E"/>
    <w:rsid w:val="008A2E98"/>
    <w:rsid w:val="008A2F88"/>
    <w:rsid w:val="008A38A1"/>
    <w:rsid w:val="008A41B2"/>
    <w:rsid w:val="008A41C8"/>
    <w:rsid w:val="008A4324"/>
    <w:rsid w:val="008A6639"/>
    <w:rsid w:val="008A6970"/>
    <w:rsid w:val="008A6E1F"/>
    <w:rsid w:val="008A77C8"/>
    <w:rsid w:val="008A77F9"/>
    <w:rsid w:val="008A7F65"/>
    <w:rsid w:val="008B10B7"/>
    <w:rsid w:val="008B1C8E"/>
    <w:rsid w:val="008B2C0A"/>
    <w:rsid w:val="008B3452"/>
    <w:rsid w:val="008B353A"/>
    <w:rsid w:val="008B4DE3"/>
    <w:rsid w:val="008B5ABB"/>
    <w:rsid w:val="008B5DE6"/>
    <w:rsid w:val="008B6004"/>
    <w:rsid w:val="008B6B5B"/>
    <w:rsid w:val="008B7500"/>
    <w:rsid w:val="008C1805"/>
    <w:rsid w:val="008C26B5"/>
    <w:rsid w:val="008C3F6B"/>
    <w:rsid w:val="008C47AF"/>
    <w:rsid w:val="008C47DE"/>
    <w:rsid w:val="008C4B18"/>
    <w:rsid w:val="008C581E"/>
    <w:rsid w:val="008C5E4E"/>
    <w:rsid w:val="008C7428"/>
    <w:rsid w:val="008C76A7"/>
    <w:rsid w:val="008C7914"/>
    <w:rsid w:val="008C7B68"/>
    <w:rsid w:val="008D01A3"/>
    <w:rsid w:val="008D0964"/>
    <w:rsid w:val="008D0FBF"/>
    <w:rsid w:val="008D0FD6"/>
    <w:rsid w:val="008D1059"/>
    <w:rsid w:val="008D1B67"/>
    <w:rsid w:val="008D329B"/>
    <w:rsid w:val="008D34EB"/>
    <w:rsid w:val="008D42F3"/>
    <w:rsid w:val="008D4318"/>
    <w:rsid w:val="008D47A4"/>
    <w:rsid w:val="008D496A"/>
    <w:rsid w:val="008D5121"/>
    <w:rsid w:val="008D5414"/>
    <w:rsid w:val="008D6E87"/>
    <w:rsid w:val="008D7545"/>
    <w:rsid w:val="008D7B82"/>
    <w:rsid w:val="008E0A10"/>
    <w:rsid w:val="008E1574"/>
    <w:rsid w:val="008E17DA"/>
    <w:rsid w:val="008E2753"/>
    <w:rsid w:val="008E3CC6"/>
    <w:rsid w:val="008E5473"/>
    <w:rsid w:val="008E6E59"/>
    <w:rsid w:val="008E741C"/>
    <w:rsid w:val="008F117A"/>
    <w:rsid w:val="008F1255"/>
    <w:rsid w:val="008F1371"/>
    <w:rsid w:val="008F1751"/>
    <w:rsid w:val="008F26C9"/>
    <w:rsid w:val="008F32C9"/>
    <w:rsid w:val="008F4246"/>
    <w:rsid w:val="008F4749"/>
    <w:rsid w:val="008F4AC4"/>
    <w:rsid w:val="008F4B68"/>
    <w:rsid w:val="008F551A"/>
    <w:rsid w:val="009008B2"/>
    <w:rsid w:val="00901706"/>
    <w:rsid w:val="00901993"/>
    <w:rsid w:val="00901ACF"/>
    <w:rsid w:val="00902456"/>
    <w:rsid w:val="00902804"/>
    <w:rsid w:val="00903121"/>
    <w:rsid w:val="009033F2"/>
    <w:rsid w:val="009034AB"/>
    <w:rsid w:val="0090365D"/>
    <w:rsid w:val="00904B25"/>
    <w:rsid w:val="00905134"/>
    <w:rsid w:val="00905236"/>
    <w:rsid w:val="00905A1C"/>
    <w:rsid w:val="00905AF1"/>
    <w:rsid w:val="009076A6"/>
    <w:rsid w:val="00907E79"/>
    <w:rsid w:val="009109A3"/>
    <w:rsid w:val="0091190E"/>
    <w:rsid w:val="00911CD0"/>
    <w:rsid w:val="00912E39"/>
    <w:rsid w:val="009139F0"/>
    <w:rsid w:val="0091475A"/>
    <w:rsid w:val="00915687"/>
    <w:rsid w:val="009156E2"/>
    <w:rsid w:val="00915CCA"/>
    <w:rsid w:val="009164B4"/>
    <w:rsid w:val="009166C5"/>
    <w:rsid w:val="00917FF7"/>
    <w:rsid w:val="0092096C"/>
    <w:rsid w:val="00921AA8"/>
    <w:rsid w:val="009229B3"/>
    <w:rsid w:val="00923781"/>
    <w:rsid w:val="00923D7B"/>
    <w:rsid w:val="00924428"/>
    <w:rsid w:val="00924BC3"/>
    <w:rsid w:val="00925B24"/>
    <w:rsid w:val="00927C8C"/>
    <w:rsid w:val="0093134B"/>
    <w:rsid w:val="00931AD1"/>
    <w:rsid w:val="00931AF0"/>
    <w:rsid w:val="009323E2"/>
    <w:rsid w:val="009329CF"/>
    <w:rsid w:val="00932E64"/>
    <w:rsid w:val="0093307E"/>
    <w:rsid w:val="0093381F"/>
    <w:rsid w:val="00933CEA"/>
    <w:rsid w:val="00933F16"/>
    <w:rsid w:val="00934AA8"/>
    <w:rsid w:val="00934B53"/>
    <w:rsid w:val="00934BEE"/>
    <w:rsid w:val="00935950"/>
    <w:rsid w:val="00936FC3"/>
    <w:rsid w:val="00937125"/>
    <w:rsid w:val="009379FC"/>
    <w:rsid w:val="00937B46"/>
    <w:rsid w:val="00937C59"/>
    <w:rsid w:val="00940992"/>
    <w:rsid w:val="0094112D"/>
    <w:rsid w:val="00941A9D"/>
    <w:rsid w:val="00942AE5"/>
    <w:rsid w:val="00943D62"/>
    <w:rsid w:val="00943E24"/>
    <w:rsid w:val="00944BBA"/>
    <w:rsid w:val="009454D0"/>
    <w:rsid w:val="009459B8"/>
    <w:rsid w:val="00946301"/>
    <w:rsid w:val="0094679A"/>
    <w:rsid w:val="00946D7A"/>
    <w:rsid w:val="00947098"/>
    <w:rsid w:val="0094785B"/>
    <w:rsid w:val="00947BF1"/>
    <w:rsid w:val="00947CD5"/>
    <w:rsid w:val="00950403"/>
    <w:rsid w:val="00950DF6"/>
    <w:rsid w:val="00951794"/>
    <w:rsid w:val="00951B23"/>
    <w:rsid w:val="009522B6"/>
    <w:rsid w:val="009524D3"/>
    <w:rsid w:val="0095325A"/>
    <w:rsid w:val="00953277"/>
    <w:rsid w:val="009533EB"/>
    <w:rsid w:val="0095362F"/>
    <w:rsid w:val="009539C3"/>
    <w:rsid w:val="00953B4D"/>
    <w:rsid w:val="00954662"/>
    <w:rsid w:val="00954C3A"/>
    <w:rsid w:val="00954D17"/>
    <w:rsid w:val="009555DD"/>
    <w:rsid w:val="00955FA7"/>
    <w:rsid w:val="009563AB"/>
    <w:rsid w:val="00957381"/>
    <w:rsid w:val="00960734"/>
    <w:rsid w:val="009617A9"/>
    <w:rsid w:val="00961A34"/>
    <w:rsid w:val="00961C77"/>
    <w:rsid w:val="00961EAC"/>
    <w:rsid w:val="00961F3E"/>
    <w:rsid w:val="00962142"/>
    <w:rsid w:val="009631D0"/>
    <w:rsid w:val="00963F75"/>
    <w:rsid w:val="0096418F"/>
    <w:rsid w:val="009641F6"/>
    <w:rsid w:val="0096457E"/>
    <w:rsid w:val="009649F2"/>
    <w:rsid w:val="00965000"/>
    <w:rsid w:val="00965AC7"/>
    <w:rsid w:val="00965F69"/>
    <w:rsid w:val="00966038"/>
    <w:rsid w:val="00967F13"/>
    <w:rsid w:val="00970A15"/>
    <w:rsid w:val="009712AD"/>
    <w:rsid w:val="00971C6B"/>
    <w:rsid w:val="00972E6A"/>
    <w:rsid w:val="009740BB"/>
    <w:rsid w:val="00974304"/>
    <w:rsid w:val="009748B6"/>
    <w:rsid w:val="00974C5B"/>
    <w:rsid w:val="0097500B"/>
    <w:rsid w:val="00975283"/>
    <w:rsid w:val="00975287"/>
    <w:rsid w:val="00977F29"/>
    <w:rsid w:val="0098026C"/>
    <w:rsid w:val="00980F72"/>
    <w:rsid w:val="009810B9"/>
    <w:rsid w:val="00982A45"/>
    <w:rsid w:val="00982AFE"/>
    <w:rsid w:val="00982EA7"/>
    <w:rsid w:val="00983573"/>
    <w:rsid w:val="009847A0"/>
    <w:rsid w:val="00984B6F"/>
    <w:rsid w:val="00985C23"/>
    <w:rsid w:val="00987168"/>
    <w:rsid w:val="00987745"/>
    <w:rsid w:val="0098798C"/>
    <w:rsid w:val="00990F7A"/>
    <w:rsid w:val="0099136E"/>
    <w:rsid w:val="00991A8E"/>
    <w:rsid w:val="00991AFC"/>
    <w:rsid w:val="00991B46"/>
    <w:rsid w:val="00991B62"/>
    <w:rsid w:val="00992A59"/>
    <w:rsid w:val="00993786"/>
    <w:rsid w:val="00993D61"/>
    <w:rsid w:val="00994149"/>
    <w:rsid w:val="00994814"/>
    <w:rsid w:val="00995AE4"/>
    <w:rsid w:val="00995AEC"/>
    <w:rsid w:val="009960F5"/>
    <w:rsid w:val="00996691"/>
    <w:rsid w:val="009A0AE2"/>
    <w:rsid w:val="009A0C86"/>
    <w:rsid w:val="009A1BEB"/>
    <w:rsid w:val="009A6024"/>
    <w:rsid w:val="009A67A5"/>
    <w:rsid w:val="009A6AE4"/>
    <w:rsid w:val="009A6F89"/>
    <w:rsid w:val="009A71A6"/>
    <w:rsid w:val="009A7900"/>
    <w:rsid w:val="009A7A2A"/>
    <w:rsid w:val="009B04E7"/>
    <w:rsid w:val="009B0BC2"/>
    <w:rsid w:val="009B0D4E"/>
    <w:rsid w:val="009B18A7"/>
    <w:rsid w:val="009B1F75"/>
    <w:rsid w:val="009B279F"/>
    <w:rsid w:val="009B29AE"/>
    <w:rsid w:val="009B29B9"/>
    <w:rsid w:val="009B2C9D"/>
    <w:rsid w:val="009B3706"/>
    <w:rsid w:val="009B3B54"/>
    <w:rsid w:val="009B3EFB"/>
    <w:rsid w:val="009B4231"/>
    <w:rsid w:val="009B4415"/>
    <w:rsid w:val="009B44B1"/>
    <w:rsid w:val="009B5414"/>
    <w:rsid w:val="009B58A9"/>
    <w:rsid w:val="009B65DF"/>
    <w:rsid w:val="009C23A3"/>
    <w:rsid w:val="009C2B20"/>
    <w:rsid w:val="009C2D99"/>
    <w:rsid w:val="009C3B55"/>
    <w:rsid w:val="009C3E82"/>
    <w:rsid w:val="009C4039"/>
    <w:rsid w:val="009C4F55"/>
    <w:rsid w:val="009C5C39"/>
    <w:rsid w:val="009C5EF0"/>
    <w:rsid w:val="009C6671"/>
    <w:rsid w:val="009C679D"/>
    <w:rsid w:val="009C6AE6"/>
    <w:rsid w:val="009C6B31"/>
    <w:rsid w:val="009C732F"/>
    <w:rsid w:val="009C79F2"/>
    <w:rsid w:val="009D2061"/>
    <w:rsid w:val="009D31DB"/>
    <w:rsid w:val="009D3424"/>
    <w:rsid w:val="009D3A09"/>
    <w:rsid w:val="009D45FD"/>
    <w:rsid w:val="009D5D06"/>
    <w:rsid w:val="009D69E6"/>
    <w:rsid w:val="009D796C"/>
    <w:rsid w:val="009D79AD"/>
    <w:rsid w:val="009E03F6"/>
    <w:rsid w:val="009E1000"/>
    <w:rsid w:val="009E18AA"/>
    <w:rsid w:val="009E2165"/>
    <w:rsid w:val="009E23CA"/>
    <w:rsid w:val="009E26BD"/>
    <w:rsid w:val="009E30EF"/>
    <w:rsid w:val="009E348D"/>
    <w:rsid w:val="009E3BAF"/>
    <w:rsid w:val="009E5A86"/>
    <w:rsid w:val="009E5EA7"/>
    <w:rsid w:val="009E63DA"/>
    <w:rsid w:val="009E685B"/>
    <w:rsid w:val="009E6F25"/>
    <w:rsid w:val="009F0686"/>
    <w:rsid w:val="009F1216"/>
    <w:rsid w:val="009F1744"/>
    <w:rsid w:val="009F19CD"/>
    <w:rsid w:val="009F3CFE"/>
    <w:rsid w:val="009F43C4"/>
    <w:rsid w:val="009F5156"/>
    <w:rsid w:val="009F57BF"/>
    <w:rsid w:val="009F5F0D"/>
    <w:rsid w:val="00A00858"/>
    <w:rsid w:val="00A00C74"/>
    <w:rsid w:val="00A013BC"/>
    <w:rsid w:val="00A0160C"/>
    <w:rsid w:val="00A02363"/>
    <w:rsid w:val="00A0314B"/>
    <w:rsid w:val="00A0358F"/>
    <w:rsid w:val="00A04074"/>
    <w:rsid w:val="00A04A72"/>
    <w:rsid w:val="00A05445"/>
    <w:rsid w:val="00A055F7"/>
    <w:rsid w:val="00A056A6"/>
    <w:rsid w:val="00A0606D"/>
    <w:rsid w:val="00A06A79"/>
    <w:rsid w:val="00A06C97"/>
    <w:rsid w:val="00A071EB"/>
    <w:rsid w:val="00A07213"/>
    <w:rsid w:val="00A07B45"/>
    <w:rsid w:val="00A07E7E"/>
    <w:rsid w:val="00A118CB"/>
    <w:rsid w:val="00A12D6E"/>
    <w:rsid w:val="00A13192"/>
    <w:rsid w:val="00A1476E"/>
    <w:rsid w:val="00A14977"/>
    <w:rsid w:val="00A14EBA"/>
    <w:rsid w:val="00A15866"/>
    <w:rsid w:val="00A15E59"/>
    <w:rsid w:val="00A16638"/>
    <w:rsid w:val="00A17BA2"/>
    <w:rsid w:val="00A2195B"/>
    <w:rsid w:val="00A21D5F"/>
    <w:rsid w:val="00A22E61"/>
    <w:rsid w:val="00A23233"/>
    <w:rsid w:val="00A23352"/>
    <w:rsid w:val="00A23FA0"/>
    <w:rsid w:val="00A24321"/>
    <w:rsid w:val="00A24686"/>
    <w:rsid w:val="00A24C70"/>
    <w:rsid w:val="00A25096"/>
    <w:rsid w:val="00A26225"/>
    <w:rsid w:val="00A27028"/>
    <w:rsid w:val="00A27183"/>
    <w:rsid w:val="00A2729A"/>
    <w:rsid w:val="00A27366"/>
    <w:rsid w:val="00A27D56"/>
    <w:rsid w:val="00A30612"/>
    <w:rsid w:val="00A30741"/>
    <w:rsid w:val="00A312FE"/>
    <w:rsid w:val="00A31C89"/>
    <w:rsid w:val="00A320BF"/>
    <w:rsid w:val="00A33091"/>
    <w:rsid w:val="00A33141"/>
    <w:rsid w:val="00A33539"/>
    <w:rsid w:val="00A33BF1"/>
    <w:rsid w:val="00A33D46"/>
    <w:rsid w:val="00A3416D"/>
    <w:rsid w:val="00A347C3"/>
    <w:rsid w:val="00A34BC5"/>
    <w:rsid w:val="00A350E1"/>
    <w:rsid w:val="00A37254"/>
    <w:rsid w:val="00A37E4C"/>
    <w:rsid w:val="00A37EC9"/>
    <w:rsid w:val="00A426B5"/>
    <w:rsid w:val="00A42914"/>
    <w:rsid w:val="00A42E5C"/>
    <w:rsid w:val="00A4316F"/>
    <w:rsid w:val="00A4477C"/>
    <w:rsid w:val="00A45FD0"/>
    <w:rsid w:val="00A501C4"/>
    <w:rsid w:val="00A50CE3"/>
    <w:rsid w:val="00A5131B"/>
    <w:rsid w:val="00A521B8"/>
    <w:rsid w:val="00A52AB8"/>
    <w:rsid w:val="00A52FDA"/>
    <w:rsid w:val="00A530BF"/>
    <w:rsid w:val="00A55140"/>
    <w:rsid w:val="00A553BD"/>
    <w:rsid w:val="00A559B9"/>
    <w:rsid w:val="00A55B3F"/>
    <w:rsid w:val="00A5631B"/>
    <w:rsid w:val="00A56867"/>
    <w:rsid w:val="00A602B6"/>
    <w:rsid w:val="00A602F2"/>
    <w:rsid w:val="00A60A58"/>
    <w:rsid w:val="00A610C7"/>
    <w:rsid w:val="00A61358"/>
    <w:rsid w:val="00A62E00"/>
    <w:rsid w:val="00A64C00"/>
    <w:rsid w:val="00A6506D"/>
    <w:rsid w:val="00A65136"/>
    <w:rsid w:val="00A6559A"/>
    <w:rsid w:val="00A65729"/>
    <w:rsid w:val="00A65E91"/>
    <w:rsid w:val="00A660DB"/>
    <w:rsid w:val="00A67BEE"/>
    <w:rsid w:val="00A67F39"/>
    <w:rsid w:val="00A7044A"/>
    <w:rsid w:val="00A707C5"/>
    <w:rsid w:val="00A714BF"/>
    <w:rsid w:val="00A71D8E"/>
    <w:rsid w:val="00A71EA1"/>
    <w:rsid w:val="00A7241F"/>
    <w:rsid w:val="00A72444"/>
    <w:rsid w:val="00A727D3"/>
    <w:rsid w:val="00A72AB0"/>
    <w:rsid w:val="00A73A95"/>
    <w:rsid w:val="00A73C1F"/>
    <w:rsid w:val="00A742AC"/>
    <w:rsid w:val="00A75A99"/>
    <w:rsid w:val="00A76921"/>
    <w:rsid w:val="00A76A98"/>
    <w:rsid w:val="00A76B99"/>
    <w:rsid w:val="00A77179"/>
    <w:rsid w:val="00A80943"/>
    <w:rsid w:val="00A82845"/>
    <w:rsid w:val="00A82884"/>
    <w:rsid w:val="00A844FF"/>
    <w:rsid w:val="00A845B0"/>
    <w:rsid w:val="00A859DD"/>
    <w:rsid w:val="00A863ED"/>
    <w:rsid w:val="00A90606"/>
    <w:rsid w:val="00A91C0A"/>
    <w:rsid w:val="00A9230E"/>
    <w:rsid w:val="00A92D28"/>
    <w:rsid w:val="00A9317A"/>
    <w:rsid w:val="00A936C9"/>
    <w:rsid w:val="00A95950"/>
    <w:rsid w:val="00A9659F"/>
    <w:rsid w:val="00A97113"/>
    <w:rsid w:val="00A97DEC"/>
    <w:rsid w:val="00AA0F9A"/>
    <w:rsid w:val="00AA1177"/>
    <w:rsid w:val="00AA1CA5"/>
    <w:rsid w:val="00AA1D9F"/>
    <w:rsid w:val="00AA5287"/>
    <w:rsid w:val="00AA6591"/>
    <w:rsid w:val="00AA66ED"/>
    <w:rsid w:val="00AA6BDA"/>
    <w:rsid w:val="00AB02F2"/>
    <w:rsid w:val="00AB077A"/>
    <w:rsid w:val="00AB2340"/>
    <w:rsid w:val="00AB2353"/>
    <w:rsid w:val="00AB2781"/>
    <w:rsid w:val="00AB2FE0"/>
    <w:rsid w:val="00AB3659"/>
    <w:rsid w:val="00AB3928"/>
    <w:rsid w:val="00AB407D"/>
    <w:rsid w:val="00AB438B"/>
    <w:rsid w:val="00AB4A75"/>
    <w:rsid w:val="00AB4ED8"/>
    <w:rsid w:val="00AB5028"/>
    <w:rsid w:val="00AB5E13"/>
    <w:rsid w:val="00AB6282"/>
    <w:rsid w:val="00AB6F01"/>
    <w:rsid w:val="00AB72F9"/>
    <w:rsid w:val="00AB7AE4"/>
    <w:rsid w:val="00AC05DD"/>
    <w:rsid w:val="00AC0A17"/>
    <w:rsid w:val="00AC0C1F"/>
    <w:rsid w:val="00AC2888"/>
    <w:rsid w:val="00AC360D"/>
    <w:rsid w:val="00AC394C"/>
    <w:rsid w:val="00AC3EF5"/>
    <w:rsid w:val="00AC6251"/>
    <w:rsid w:val="00AC6668"/>
    <w:rsid w:val="00AC6732"/>
    <w:rsid w:val="00AC6A73"/>
    <w:rsid w:val="00AC6F6B"/>
    <w:rsid w:val="00AD0226"/>
    <w:rsid w:val="00AD23C7"/>
    <w:rsid w:val="00AD2B73"/>
    <w:rsid w:val="00AD2D27"/>
    <w:rsid w:val="00AD3316"/>
    <w:rsid w:val="00AD4035"/>
    <w:rsid w:val="00AD4EFE"/>
    <w:rsid w:val="00AD71D6"/>
    <w:rsid w:val="00AD7983"/>
    <w:rsid w:val="00AD7999"/>
    <w:rsid w:val="00AE000B"/>
    <w:rsid w:val="00AE0307"/>
    <w:rsid w:val="00AE03E4"/>
    <w:rsid w:val="00AE0FC4"/>
    <w:rsid w:val="00AE2407"/>
    <w:rsid w:val="00AE2C28"/>
    <w:rsid w:val="00AE3C42"/>
    <w:rsid w:val="00AE4102"/>
    <w:rsid w:val="00AE4801"/>
    <w:rsid w:val="00AE5A3F"/>
    <w:rsid w:val="00AE6CEA"/>
    <w:rsid w:val="00AF0124"/>
    <w:rsid w:val="00AF0234"/>
    <w:rsid w:val="00AF05FD"/>
    <w:rsid w:val="00AF0B86"/>
    <w:rsid w:val="00AF1496"/>
    <w:rsid w:val="00AF15E6"/>
    <w:rsid w:val="00AF15F5"/>
    <w:rsid w:val="00AF1BF8"/>
    <w:rsid w:val="00AF1D8B"/>
    <w:rsid w:val="00AF2691"/>
    <w:rsid w:val="00AF26FC"/>
    <w:rsid w:val="00AF2A65"/>
    <w:rsid w:val="00AF36D4"/>
    <w:rsid w:val="00AF3D7A"/>
    <w:rsid w:val="00AF44E6"/>
    <w:rsid w:val="00AF45B8"/>
    <w:rsid w:val="00AF4636"/>
    <w:rsid w:val="00AF48FA"/>
    <w:rsid w:val="00AF6F60"/>
    <w:rsid w:val="00AF7C6C"/>
    <w:rsid w:val="00AF7D64"/>
    <w:rsid w:val="00B000B2"/>
    <w:rsid w:val="00B015F8"/>
    <w:rsid w:val="00B020D8"/>
    <w:rsid w:val="00B0256A"/>
    <w:rsid w:val="00B02F3E"/>
    <w:rsid w:val="00B02F6D"/>
    <w:rsid w:val="00B03492"/>
    <w:rsid w:val="00B0427E"/>
    <w:rsid w:val="00B046BF"/>
    <w:rsid w:val="00B04C84"/>
    <w:rsid w:val="00B057BA"/>
    <w:rsid w:val="00B058CC"/>
    <w:rsid w:val="00B05F74"/>
    <w:rsid w:val="00B06461"/>
    <w:rsid w:val="00B06ACB"/>
    <w:rsid w:val="00B06FEB"/>
    <w:rsid w:val="00B071C9"/>
    <w:rsid w:val="00B072AF"/>
    <w:rsid w:val="00B10101"/>
    <w:rsid w:val="00B110D7"/>
    <w:rsid w:val="00B12980"/>
    <w:rsid w:val="00B136E9"/>
    <w:rsid w:val="00B13872"/>
    <w:rsid w:val="00B15A9A"/>
    <w:rsid w:val="00B15B11"/>
    <w:rsid w:val="00B166E7"/>
    <w:rsid w:val="00B16814"/>
    <w:rsid w:val="00B17522"/>
    <w:rsid w:val="00B17803"/>
    <w:rsid w:val="00B17D4F"/>
    <w:rsid w:val="00B2030F"/>
    <w:rsid w:val="00B209F5"/>
    <w:rsid w:val="00B2129A"/>
    <w:rsid w:val="00B21D5E"/>
    <w:rsid w:val="00B223C8"/>
    <w:rsid w:val="00B229FC"/>
    <w:rsid w:val="00B23429"/>
    <w:rsid w:val="00B23D59"/>
    <w:rsid w:val="00B244BC"/>
    <w:rsid w:val="00B244DC"/>
    <w:rsid w:val="00B24B9B"/>
    <w:rsid w:val="00B24FEA"/>
    <w:rsid w:val="00B25809"/>
    <w:rsid w:val="00B263F5"/>
    <w:rsid w:val="00B270BB"/>
    <w:rsid w:val="00B27447"/>
    <w:rsid w:val="00B278F0"/>
    <w:rsid w:val="00B27E75"/>
    <w:rsid w:val="00B30930"/>
    <w:rsid w:val="00B309E6"/>
    <w:rsid w:val="00B3124A"/>
    <w:rsid w:val="00B3152A"/>
    <w:rsid w:val="00B31E70"/>
    <w:rsid w:val="00B320CB"/>
    <w:rsid w:val="00B3293F"/>
    <w:rsid w:val="00B3405D"/>
    <w:rsid w:val="00B34985"/>
    <w:rsid w:val="00B34C4D"/>
    <w:rsid w:val="00B34FC5"/>
    <w:rsid w:val="00B3648F"/>
    <w:rsid w:val="00B36534"/>
    <w:rsid w:val="00B36943"/>
    <w:rsid w:val="00B37462"/>
    <w:rsid w:val="00B4176E"/>
    <w:rsid w:val="00B42252"/>
    <w:rsid w:val="00B42448"/>
    <w:rsid w:val="00B42994"/>
    <w:rsid w:val="00B4301D"/>
    <w:rsid w:val="00B44260"/>
    <w:rsid w:val="00B44541"/>
    <w:rsid w:val="00B44D3E"/>
    <w:rsid w:val="00B453A5"/>
    <w:rsid w:val="00B455B9"/>
    <w:rsid w:val="00B45833"/>
    <w:rsid w:val="00B47504"/>
    <w:rsid w:val="00B47C2C"/>
    <w:rsid w:val="00B5110C"/>
    <w:rsid w:val="00B51623"/>
    <w:rsid w:val="00B51FFD"/>
    <w:rsid w:val="00B52387"/>
    <w:rsid w:val="00B525B1"/>
    <w:rsid w:val="00B529C6"/>
    <w:rsid w:val="00B532F5"/>
    <w:rsid w:val="00B53678"/>
    <w:rsid w:val="00B5392B"/>
    <w:rsid w:val="00B54211"/>
    <w:rsid w:val="00B54AD0"/>
    <w:rsid w:val="00B54EA3"/>
    <w:rsid w:val="00B5554B"/>
    <w:rsid w:val="00B563D4"/>
    <w:rsid w:val="00B5685E"/>
    <w:rsid w:val="00B57803"/>
    <w:rsid w:val="00B579B4"/>
    <w:rsid w:val="00B57B53"/>
    <w:rsid w:val="00B57D24"/>
    <w:rsid w:val="00B6000A"/>
    <w:rsid w:val="00B605DB"/>
    <w:rsid w:val="00B6074B"/>
    <w:rsid w:val="00B609FD"/>
    <w:rsid w:val="00B61F5F"/>
    <w:rsid w:val="00B621AF"/>
    <w:rsid w:val="00B63067"/>
    <w:rsid w:val="00B645A7"/>
    <w:rsid w:val="00B64AC9"/>
    <w:rsid w:val="00B65DA2"/>
    <w:rsid w:val="00B66C99"/>
    <w:rsid w:val="00B6740E"/>
    <w:rsid w:val="00B6746A"/>
    <w:rsid w:val="00B7018D"/>
    <w:rsid w:val="00B70206"/>
    <w:rsid w:val="00B7028D"/>
    <w:rsid w:val="00B705A1"/>
    <w:rsid w:val="00B705F9"/>
    <w:rsid w:val="00B71078"/>
    <w:rsid w:val="00B71C40"/>
    <w:rsid w:val="00B7250A"/>
    <w:rsid w:val="00B73264"/>
    <w:rsid w:val="00B73330"/>
    <w:rsid w:val="00B73356"/>
    <w:rsid w:val="00B73B16"/>
    <w:rsid w:val="00B7523B"/>
    <w:rsid w:val="00B755FE"/>
    <w:rsid w:val="00B75833"/>
    <w:rsid w:val="00B75E18"/>
    <w:rsid w:val="00B7637C"/>
    <w:rsid w:val="00B766BD"/>
    <w:rsid w:val="00B76B99"/>
    <w:rsid w:val="00B80886"/>
    <w:rsid w:val="00B836BA"/>
    <w:rsid w:val="00B84681"/>
    <w:rsid w:val="00B85047"/>
    <w:rsid w:val="00B85B90"/>
    <w:rsid w:val="00B85D61"/>
    <w:rsid w:val="00B90666"/>
    <w:rsid w:val="00B91B3F"/>
    <w:rsid w:val="00B93054"/>
    <w:rsid w:val="00B932A4"/>
    <w:rsid w:val="00B93A7D"/>
    <w:rsid w:val="00B94D3B"/>
    <w:rsid w:val="00B94D9A"/>
    <w:rsid w:val="00B965A8"/>
    <w:rsid w:val="00B96986"/>
    <w:rsid w:val="00B96BA8"/>
    <w:rsid w:val="00B96FF7"/>
    <w:rsid w:val="00B975A6"/>
    <w:rsid w:val="00B97606"/>
    <w:rsid w:val="00BA0585"/>
    <w:rsid w:val="00BA19A2"/>
    <w:rsid w:val="00BA27F3"/>
    <w:rsid w:val="00BA2E6B"/>
    <w:rsid w:val="00BA33B1"/>
    <w:rsid w:val="00BA4EC8"/>
    <w:rsid w:val="00BA5EB3"/>
    <w:rsid w:val="00BA5F5C"/>
    <w:rsid w:val="00BA72F8"/>
    <w:rsid w:val="00BB0B72"/>
    <w:rsid w:val="00BB109B"/>
    <w:rsid w:val="00BB1421"/>
    <w:rsid w:val="00BB186D"/>
    <w:rsid w:val="00BB353F"/>
    <w:rsid w:val="00BB4572"/>
    <w:rsid w:val="00BB4CB9"/>
    <w:rsid w:val="00BB51C2"/>
    <w:rsid w:val="00BB5FC6"/>
    <w:rsid w:val="00BB68E3"/>
    <w:rsid w:val="00BC0334"/>
    <w:rsid w:val="00BC0EE9"/>
    <w:rsid w:val="00BC14EE"/>
    <w:rsid w:val="00BC19A4"/>
    <w:rsid w:val="00BC2FB4"/>
    <w:rsid w:val="00BC36F8"/>
    <w:rsid w:val="00BC4F9A"/>
    <w:rsid w:val="00BC56C4"/>
    <w:rsid w:val="00BC5E27"/>
    <w:rsid w:val="00BC61B1"/>
    <w:rsid w:val="00BC6FB5"/>
    <w:rsid w:val="00BC74C1"/>
    <w:rsid w:val="00BC7606"/>
    <w:rsid w:val="00BC7939"/>
    <w:rsid w:val="00BC7DDE"/>
    <w:rsid w:val="00BD0063"/>
    <w:rsid w:val="00BD1636"/>
    <w:rsid w:val="00BD29BB"/>
    <w:rsid w:val="00BD488C"/>
    <w:rsid w:val="00BD4987"/>
    <w:rsid w:val="00BD4A8E"/>
    <w:rsid w:val="00BD4AE2"/>
    <w:rsid w:val="00BD4C71"/>
    <w:rsid w:val="00BD4CF8"/>
    <w:rsid w:val="00BD4F77"/>
    <w:rsid w:val="00BD52A1"/>
    <w:rsid w:val="00BD5F9B"/>
    <w:rsid w:val="00BD5FB0"/>
    <w:rsid w:val="00BD613B"/>
    <w:rsid w:val="00BD64DA"/>
    <w:rsid w:val="00BD788B"/>
    <w:rsid w:val="00BD79ED"/>
    <w:rsid w:val="00BE01C6"/>
    <w:rsid w:val="00BE141B"/>
    <w:rsid w:val="00BE154D"/>
    <w:rsid w:val="00BE1890"/>
    <w:rsid w:val="00BE18C7"/>
    <w:rsid w:val="00BE1FA1"/>
    <w:rsid w:val="00BE26F0"/>
    <w:rsid w:val="00BE2CCF"/>
    <w:rsid w:val="00BE2EBD"/>
    <w:rsid w:val="00BE3D1D"/>
    <w:rsid w:val="00BE4D10"/>
    <w:rsid w:val="00BE54FC"/>
    <w:rsid w:val="00BE564D"/>
    <w:rsid w:val="00BE59E6"/>
    <w:rsid w:val="00BE6C30"/>
    <w:rsid w:val="00BF1389"/>
    <w:rsid w:val="00BF193A"/>
    <w:rsid w:val="00BF193C"/>
    <w:rsid w:val="00BF2FF8"/>
    <w:rsid w:val="00BF340B"/>
    <w:rsid w:val="00BF516D"/>
    <w:rsid w:val="00BF51FB"/>
    <w:rsid w:val="00BF5A30"/>
    <w:rsid w:val="00BF64D2"/>
    <w:rsid w:val="00BF6F0B"/>
    <w:rsid w:val="00BF7772"/>
    <w:rsid w:val="00C00806"/>
    <w:rsid w:val="00C009A8"/>
    <w:rsid w:val="00C013CE"/>
    <w:rsid w:val="00C015EC"/>
    <w:rsid w:val="00C017E2"/>
    <w:rsid w:val="00C038D8"/>
    <w:rsid w:val="00C04517"/>
    <w:rsid w:val="00C04CA4"/>
    <w:rsid w:val="00C053BD"/>
    <w:rsid w:val="00C062F4"/>
    <w:rsid w:val="00C076FC"/>
    <w:rsid w:val="00C10618"/>
    <w:rsid w:val="00C10D10"/>
    <w:rsid w:val="00C11FDA"/>
    <w:rsid w:val="00C12619"/>
    <w:rsid w:val="00C13769"/>
    <w:rsid w:val="00C1395F"/>
    <w:rsid w:val="00C13C95"/>
    <w:rsid w:val="00C15C16"/>
    <w:rsid w:val="00C160CA"/>
    <w:rsid w:val="00C16FBC"/>
    <w:rsid w:val="00C17241"/>
    <w:rsid w:val="00C17252"/>
    <w:rsid w:val="00C17356"/>
    <w:rsid w:val="00C2067B"/>
    <w:rsid w:val="00C209EE"/>
    <w:rsid w:val="00C20F71"/>
    <w:rsid w:val="00C21AF1"/>
    <w:rsid w:val="00C21C88"/>
    <w:rsid w:val="00C225AD"/>
    <w:rsid w:val="00C24309"/>
    <w:rsid w:val="00C247A0"/>
    <w:rsid w:val="00C24DE9"/>
    <w:rsid w:val="00C251FF"/>
    <w:rsid w:val="00C25869"/>
    <w:rsid w:val="00C26D49"/>
    <w:rsid w:val="00C26DAE"/>
    <w:rsid w:val="00C30F86"/>
    <w:rsid w:val="00C310CE"/>
    <w:rsid w:val="00C313E8"/>
    <w:rsid w:val="00C31451"/>
    <w:rsid w:val="00C32919"/>
    <w:rsid w:val="00C33231"/>
    <w:rsid w:val="00C34024"/>
    <w:rsid w:val="00C344D1"/>
    <w:rsid w:val="00C3506E"/>
    <w:rsid w:val="00C35484"/>
    <w:rsid w:val="00C3565B"/>
    <w:rsid w:val="00C370B7"/>
    <w:rsid w:val="00C37E18"/>
    <w:rsid w:val="00C40BB3"/>
    <w:rsid w:val="00C41198"/>
    <w:rsid w:val="00C41A75"/>
    <w:rsid w:val="00C4245D"/>
    <w:rsid w:val="00C43491"/>
    <w:rsid w:val="00C44C05"/>
    <w:rsid w:val="00C44CF7"/>
    <w:rsid w:val="00C452D5"/>
    <w:rsid w:val="00C45910"/>
    <w:rsid w:val="00C4646E"/>
    <w:rsid w:val="00C46DB9"/>
    <w:rsid w:val="00C46F51"/>
    <w:rsid w:val="00C47063"/>
    <w:rsid w:val="00C47835"/>
    <w:rsid w:val="00C50717"/>
    <w:rsid w:val="00C5094A"/>
    <w:rsid w:val="00C50DD5"/>
    <w:rsid w:val="00C51DDD"/>
    <w:rsid w:val="00C51EAE"/>
    <w:rsid w:val="00C5411F"/>
    <w:rsid w:val="00C54528"/>
    <w:rsid w:val="00C5518D"/>
    <w:rsid w:val="00C55361"/>
    <w:rsid w:val="00C55661"/>
    <w:rsid w:val="00C558E7"/>
    <w:rsid w:val="00C5688B"/>
    <w:rsid w:val="00C56B3D"/>
    <w:rsid w:val="00C56F92"/>
    <w:rsid w:val="00C57C64"/>
    <w:rsid w:val="00C57E04"/>
    <w:rsid w:val="00C57F02"/>
    <w:rsid w:val="00C615D1"/>
    <w:rsid w:val="00C626DF"/>
    <w:rsid w:val="00C62895"/>
    <w:rsid w:val="00C63320"/>
    <w:rsid w:val="00C634E6"/>
    <w:rsid w:val="00C6382C"/>
    <w:rsid w:val="00C63CA8"/>
    <w:rsid w:val="00C64299"/>
    <w:rsid w:val="00C644CD"/>
    <w:rsid w:val="00C6466A"/>
    <w:rsid w:val="00C65F9D"/>
    <w:rsid w:val="00C6677B"/>
    <w:rsid w:val="00C66A8E"/>
    <w:rsid w:val="00C66AA2"/>
    <w:rsid w:val="00C66B9F"/>
    <w:rsid w:val="00C70C4C"/>
    <w:rsid w:val="00C71465"/>
    <w:rsid w:val="00C717C1"/>
    <w:rsid w:val="00C71CF3"/>
    <w:rsid w:val="00C722F1"/>
    <w:rsid w:val="00C73164"/>
    <w:rsid w:val="00C73DFB"/>
    <w:rsid w:val="00C73E76"/>
    <w:rsid w:val="00C747E7"/>
    <w:rsid w:val="00C74DBF"/>
    <w:rsid w:val="00C74EBF"/>
    <w:rsid w:val="00C760B5"/>
    <w:rsid w:val="00C77A2B"/>
    <w:rsid w:val="00C77CC4"/>
    <w:rsid w:val="00C77E61"/>
    <w:rsid w:val="00C80B4C"/>
    <w:rsid w:val="00C80BAD"/>
    <w:rsid w:val="00C81102"/>
    <w:rsid w:val="00C81706"/>
    <w:rsid w:val="00C81AAF"/>
    <w:rsid w:val="00C8226F"/>
    <w:rsid w:val="00C82FC3"/>
    <w:rsid w:val="00C8350A"/>
    <w:rsid w:val="00C83DFA"/>
    <w:rsid w:val="00C83FA1"/>
    <w:rsid w:val="00C84708"/>
    <w:rsid w:val="00C84771"/>
    <w:rsid w:val="00C8543A"/>
    <w:rsid w:val="00C8559C"/>
    <w:rsid w:val="00C86895"/>
    <w:rsid w:val="00C904D5"/>
    <w:rsid w:val="00C91154"/>
    <w:rsid w:val="00C91244"/>
    <w:rsid w:val="00C92201"/>
    <w:rsid w:val="00C92263"/>
    <w:rsid w:val="00C92724"/>
    <w:rsid w:val="00C92BF9"/>
    <w:rsid w:val="00C92F19"/>
    <w:rsid w:val="00C936DD"/>
    <w:rsid w:val="00C93791"/>
    <w:rsid w:val="00C93A63"/>
    <w:rsid w:val="00C94CF7"/>
    <w:rsid w:val="00C957EE"/>
    <w:rsid w:val="00C95B7E"/>
    <w:rsid w:val="00C96020"/>
    <w:rsid w:val="00C96F32"/>
    <w:rsid w:val="00CA034C"/>
    <w:rsid w:val="00CA074C"/>
    <w:rsid w:val="00CA0A1B"/>
    <w:rsid w:val="00CA0B38"/>
    <w:rsid w:val="00CA2AC4"/>
    <w:rsid w:val="00CA3163"/>
    <w:rsid w:val="00CA3FAB"/>
    <w:rsid w:val="00CA423C"/>
    <w:rsid w:val="00CA4240"/>
    <w:rsid w:val="00CA4408"/>
    <w:rsid w:val="00CA4931"/>
    <w:rsid w:val="00CA5704"/>
    <w:rsid w:val="00CA63FC"/>
    <w:rsid w:val="00CA71F3"/>
    <w:rsid w:val="00CA7840"/>
    <w:rsid w:val="00CB0631"/>
    <w:rsid w:val="00CB0942"/>
    <w:rsid w:val="00CB1197"/>
    <w:rsid w:val="00CB1734"/>
    <w:rsid w:val="00CB18EA"/>
    <w:rsid w:val="00CB1D4B"/>
    <w:rsid w:val="00CB3040"/>
    <w:rsid w:val="00CB54AE"/>
    <w:rsid w:val="00CB5CD6"/>
    <w:rsid w:val="00CB6F09"/>
    <w:rsid w:val="00CB756A"/>
    <w:rsid w:val="00CC2899"/>
    <w:rsid w:val="00CC2E0B"/>
    <w:rsid w:val="00CC30E6"/>
    <w:rsid w:val="00CC3BE8"/>
    <w:rsid w:val="00CC3EAB"/>
    <w:rsid w:val="00CC5DFB"/>
    <w:rsid w:val="00CD073A"/>
    <w:rsid w:val="00CD0D6B"/>
    <w:rsid w:val="00CD1272"/>
    <w:rsid w:val="00CD12A2"/>
    <w:rsid w:val="00CD2EA0"/>
    <w:rsid w:val="00CD3C34"/>
    <w:rsid w:val="00CD3D07"/>
    <w:rsid w:val="00CD4A85"/>
    <w:rsid w:val="00CD510E"/>
    <w:rsid w:val="00CD552C"/>
    <w:rsid w:val="00CD65F4"/>
    <w:rsid w:val="00CD6C38"/>
    <w:rsid w:val="00CD7293"/>
    <w:rsid w:val="00CD7514"/>
    <w:rsid w:val="00CD78CA"/>
    <w:rsid w:val="00CD7D04"/>
    <w:rsid w:val="00CE0DAD"/>
    <w:rsid w:val="00CE2468"/>
    <w:rsid w:val="00CE3821"/>
    <w:rsid w:val="00CE47AA"/>
    <w:rsid w:val="00CE50FB"/>
    <w:rsid w:val="00CE55AC"/>
    <w:rsid w:val="00CE5B7F"/>
    <w:rsid w:val="00CE5C75"/>
    <w:rsid w:val="00CF0C48"/>
    <w:rsid w:val="00CF1145"/>
    <w:rsid w:val="00CF267B"/>
    <w:rsid w:val="00CF332C"/>
    <w:rsid w:val="00CF3703"/>
    <w:rsid w:val="00CF3C3C"/>
    <w:rsid w:val="00CF4CEA"/>
    <w:rsid w:val="00CF4E83"/>
    <w:rsid w:val="00CF514C"/>
    <w:rsid w:val="00CF6756"/>
    <w:rsid w:val="00CF7ED3"/>
    <w:rsid w:val="00D00FC3"/>
    <w:rsid w:val="00D01AB8"/>
    <w:rsid w:val="00D01F45"/>
    <w:rsid w:val="00D0264A"/>
    <w:rsid w:val="00D02F0C"/>
    <w:rsid w:val="00D0401F"/>
    <w:rsid w:val="00D043F4"/>
    <w:rsid w:val="00D04A46"/>
    <w:rsid w:val="00D05403"/>
    <w:rsid w:val="00D056B2"/>
    <w:rsid w:val="00D06030"/>
    <w:rsid w:val="00D0617B"/>
    <w:rsid w:val="00D074D0"/>
    <w:rsid w:val="00D07FFE"/>
    <w:rsid w:val="00D10586"/>
    <w:rsid w:val="00D1074F"/>
    <w:rsid w:val="00D115A7"/>
    <w:rsid w:val="00D1184E"/>
    <w:rsid w:val="00D11B10"/>
    <w:rsid w:val="00D11DDF"/>
    <w:rsid w:val="00D1273A"/>
    <w:rsid w:val="00D1276A"/>
    <w:rsid w:val="00D12E9D"/>
    <w:rsid w:val="00D13503"/>
    <w:rsid w:val="00D13EBF"/>
    <w:rsid w:val="00D14600"/>
    <w:rsid w:val="00D14BE6"/>
    <w:rsid w:val="00D15047"/>
    <w:rsid w:val="00D15210"/>
    <w:rsid w:val="00D152A8"/>
    <w:rsid w:val="00D153EF"/>
    <w:rsid w:val="00D159DF"/>
    <w:rsid w:val="00D16640"/>
    <w:rsid w:val="00D168BF"/>
    <w:rsid w:val="00D1743A"/>
    <w:rsid w:val="00D20330"/>
    <w:rsid w:val="00D20D0E"/>
    <w:rsid w:val="00D228EE"/>
    <w:rsid w:val="00D24C01"/>
    <w:rsid w:val="00D25317"/>
    <w:rsid w:val="00D2595F"/>
    <w:rsid w:val="00D25E13"/>
    <w:rsid w:val="00D26A5D"/>
    <w:rsid w:val="00D328D2"/>
    <w:rsid w:val="00D32F0C"/>
    <w:rsid w:val="00D32FEA"/>
    <w:rsid w:val="00D33668"/>
    <w:rsid w:val="00D33B5B"/>
    <w:rsid w:val="00D342E8"/>
    <w:rsid w:val="00D34802"/>
    <w:rsid w:val="00D36B62"/>
    <w:rsid w:val="00D36BA6"/>
    <w:rsid w:val="00D370F8"/>
    <w:rsid w:val="00D373A8"/>
    <w:rsid w:val="00D379DC"/>
    <w:rsid w:val="00D40FE9"/>
    <w:rsid w:val="00D4143F"/>
    <w:rsid w:val="00D42FC7"/>
    <w:rsid w:val="00D43C6C"/>
    <w:rsid w:val="00D447BA"/>
    <w:rsid w:val="00D44998"/>
    <w:rsid w:val="00D45D04"/>
    <w:rsid w:val="00D5158D"/>
    <w:rsid w:val="00D52677"/>
    <w:rsid w:val="00D52B20"/>
    <w:rsid w:val="00D543AF"/>
    <w:rsid w:val="00D54702"/>
    <w:rsid w:val="00D55195"/>
    <w:rsid w:val="00D561F2"/>
    <w:rsid w:val="00D56FB0"/>
    <w:rsid w:val="00D576CD"/>
    <w:rsid w:val="00D614FC"/>
    <w:rsid w:val="00D62FF3"/>
    <w:rsid w:val="00D63BE6"/>
    <w:rsid w:val="00D63C29"/>
    <w:rsid w:val="00D64289"/>
    <w:rsid w:val="00D64B9C"/>
    <w:rsid w:val="00D65147"/>
    <w:rsid w:val="00D6535E"/>
    <w:rsid w:val="00D65FFD"/>
    <w:rsid w:val="00D665B1"/>
    <w:rsid w:val="00D67F50"/>
    <w:rsid w:val="00D70360"/>
    <w:rsid w:val="00D70463"/>
    <w:rsid w:val="00D71FC0"/>
    <w:rsid w:val="00D7210D"/>
    <w:rsid w:val="00D72362"/>
    <w:rsid w:val="00D72A15"/>
    <w:rsid w:val="00D72C63"/>
    <w:rsid w:val="00D731D0"/>
    <w:rsid w:val="00D73E87"/>
    <w:rsid w:val="00D744C6"/>
    <w:rsid w:val="00D74B39"/>
    <w:rsid w:val="00D75C07"/>
    <w:rsid w:val="00D7604C"/>
    <w:rsid w:val="00D760CD"/>
    <w:rsid w:val="00D76E4A"/>
    <w:rsid w:val="00D77204"/>
    <w:rsid w:val="00D7736B"/>
    <w:rsid w:val="00D77916"/>
    <w:rsid w:val="00D77A6A"/>
    <w:rsid w:val="00D77BCA"/>
    <w:rsid w:val="00D77C27"/>
    <w:rsid w:val="00D80E26"/>
    <w:rsid w:val="00D81483"/>
    <w:rsid w:val="00D81A25"/>
    <w:rsid w:val="00D8326C"/>
    <w:rsid w:val="00D833C2"/>
    <w:rsid w:val="00D83A78"/>
    <w:rsid w:val="00D83CF6"/>
    <w:rsid w:val="00D83D5C"/>
    <w:rsid w:val="00D84570"/>
    <w:rsid w:val="00D84B95"/>
    <w:rsid w:val="00D85D90"/>
    <w:rsid w:val="00D8674E"/>
    <w:rsid w:val="00D86944"/>
    <w:rsid w:val="00D86D07"/>
    <w:rsid w:val="00D878A8"/>
    <w:rsid w:val="00D911CF"/>
    <w:rsid w:val="00D913AD"/>
    <w:rsid w:val="00D9187B"/>
    <w:rsid w:val="00D918DD"/>
    <w:rsid w:val="00D921BF"/>
    <w:rsid w:val="00D9223D"/>
    <w:rsid w:val="00D93621"/>
    <w:rsid w:val="00D93CA3"/>
    <w:rsid w:val="00D93F75"/>
    <w:rsid w:val="00D942E8"/>
    <w:rsid w:val="00D94EE8"/>
    <w:rsid w:val="00D956CE"/>
    <w:rsid w:val="00D97151"/>
    <w:rsid w:val="00D9758E"/>
    <w:rsid w:val="00D97784"/>
    <w:rsid w:val="00D97F7A"/>
    <w:rsid w:val="00DA047C"/>
    <w:rsid w:val="00DA08B4"/>
    <w:rsid w:val="00DA0959"/>
    <w:rsid w:val="00DA0A73"/>
    <w:rsid w:val="00DA141A"/>
    <w:rsid w:val="00DA1FC0"/>
    <w:rsid w:val="00DA2210"/>
    <w:rsid w:val="00DA221A"/>
    <w:rsid w:val="00DA2369"/>
    <w:rsid w:val="00DA39DF"/>
    <w:rsid w:val="00DA459B"/>
    <w:rsid w:val="00DA4738"/>
    <w:rsid w:val="00DA52A2"/>
    <w:rsid w:val="00DA5CD8"/>
    <w:rsid w:val="00DA68F1"/>
    <w:rsid w:val="00DA704D"/>
    <w:rsid w:val="00DA784E"/>
    <w:rsid w:val="00DB050D"/>
    <w:rsid w:val="00DB096A"/>
    <w:rsid w:val="00DB1324"/>
    <w:rsid w:val="00DB1987"/>
    <w:rsid w:val="00DB1DF3"/>
    <w:rsid w:val="00DB3262"/>
    <w:rsid w:val="00DB3757"/>
    <w:rsid w:val="00DB4427"/>
    <w:rsid w:val="00DB5076"/>
    <w:rsid w:val="00DB5ED2"/>
    <w:rsid w:val="00DB6296"/>
    <w:rsid w:val="00DC0225"/>
    <w:rsid w:val="00DC05FC"/>
    <w:rsid w:val="00DC0689"/>
    <w:rsid w:val="00DC09A0"/>
    <w:rsid w:val="00DC10E8"/>
    <w:rsid w:val="00DC13A8"/>
    <w:rsid w:val="00DC1998"/>
    <w:rsid w:val="00DC26FE"/>
    <w:rsid w:val="00DC32DD"/>
    <w:rsid w:val="00DC378C"/>
    <w:rsid w:val="00DC4A69"/>
    <w:rsid w:val="00DC4CFD"/>
    <w:rsid w:val="00DC504D"/>
    <w:rsid w:val="00DC540D"/>
    <w:rsid w:val="00DC5419"/>
    <w:rsid w:val="00DC560E"/>
    <w:rsid w:val="00DC5C75"/>
    <w:rsid w:val="00DC61F0"/>
    <w:rsid w:val="00DC6452"/>
    <w:rsid w:val="00DC6E1B"/>
    <w:rsid w:val="00DC731D"/>
    <w:rsid w:val="00DC7535"/>
    <w:rsid w:val="00DD0958"/>
    <w:rsid w:val="00DD17BA"/>
    <w:rsid w:val="00DD1932"/>
    <w:rsid w:val="00DD1CA7"/>
    <w:rsid w:val="00DD2173"/>
    <w:rsid w:val="00DD2642"/>
    <w:rsid w:val="00DD32A3"/>
    <w:rsid w:val="00DD3503"/>
    <w:rsid w:val="00DD36F8"/>
    <w:rsid w:val="00DD43B2"/>
    <w:rsid w:val="00DD4BA2"/>
    <w:rsid w:val="00DD57F8"/>
    <w:rsid w:val="00DD597D"/>
    <w:rsid w:val="00DD6118"/>
    <w:rsid w:val="00DD6B7B"/>
    <w:rsid w:val="00DD723E"/>
    <w:rsid w:val="00DD7324"/>
    <w:rsid w:val="00DD77CC"/>
    <w:rsid w:val="00DD7B21"/>
    <w:rsid w:val="00DE13AD"/>
    <w:rsid w:val="00DE1F8C"/>
    <w:rsid w:val="00DE215F"/>
    <w:rsid w:val="00DE2355"/>
    <w:rsid w:val="00DE2419"/>
    <w:rsid w:val="00DE2475"/>
    <w:rsid w:val="00DE3712"/>
    <w:rsid w:val="00DE3D9D"/>
    <w:rsid w:val="00DE4761"/>
    <w:rsid w:val="00DE4B5A"/>
    <w:rsid w:val="00DE501C"/>
    <w:rsid w:val="00DE576A"/>
    <w:rsid w:val="00DE7499"/>
    <w:rsid w:val="00DE7637"/>
    <w:rsid w:val="00DE7AC1"/>
    <w:rsid w:val="00DE7D46"/>
    <w:rsid w:val="00DF02DB"/>
    <w:rsid w:val="00DF0470"/>
    <w:rsid w:val="00DF0AAD"/>
    <w:rsid w:val="00DF172A"/>
    <w:rsid w:val="00DF2482"/>
    <w:rsid w:val="00DF2924"/>
    <w:rsid w:val="00DF2DC0"/>
    <w:rsid w:val="00DF3254"/>
    <w:rsid w:val="00DF556E"/>
    <w:rsid w:val="00DF6297"/>
    <w:rsid w:val="00DF62C1"/>
    <w:rsid w:val="00DF7024"/>
    <w:rsid w:val="00DF734A"/>
    <w:rsid w:val="00E0072B"/>
    <w:rsid w:val="00E00DE5"/>
    <w:rsid w:val="00E018EF"/>
    <w:rsid w:val="00E01C1E"/>
    <w:rsid w:val="00E02699"/>
    <w:rsid w:val="00E0275D"/>
    <w:rsid w:val="00E03297"/>
    <w:rsid w:val="00E03F40"/>
    <w:rsid w:val="00E0471F"/>
    <w:rsid w:val="00E04A87"/>
    <w:rsid w:val="00E05AB6"/>
    <w:rsid w:val="00E06467"/>
    <w:rsid w:val="00E067ED"/>
    <w:rsid w:val="00E07F18"/>
    <w:rsid w:val="00E102BD"/>
    <w:rsid w:val="00E110DD"/>
    <w:rsid w:val="00E11EE7"/>
    <w:rsid w:val="00E134DF"/>
    <w:rsid w:val="00E13D6E"/>
    <w:rsid w:val="00E13F29"/>
    <w:rsid w:val="00E1417E"/>
    <w:rsid w:val="00E141E1"/>
    <w:rsid w:val="00E14935"/>
    <w:rsid w:val="00E14D41"/>
    <w:rsid w:val="00E1543F"/>
    <w:rsid w:val="00E158E9"/>
    <w:rsid w:val="00E1669A"/>
    <w:rsid w:val="00E16A6F"/>
    <w:rsid w:val="00E16C95"/>
    <w:rsid w:val="00E17B41"/>
    <w:rsid w:val="00E203F7"/>
    <w:rsid w:val="00E20EF4"/>
    <w:rsid w:val="00E21385"/>
    <w:rsid w:val="00E218AF"/>
    <w:rsid w:val="00E219D6"/>
    <w:rsid w:val="00E21BC5"/>
    <w:rsid w:val="00E227AC"/>
    <w:rsid w:val="00E23F66"/>
    <w:rsid w:val="00E24E00"/>
    <w:rsid w:val="00E24F6D"/>
    <w:rsid w:val="00E26631"/>
    <w:rsid w:val="00E26ACD"/>
    <w:rsid w:val="00E30414"/>
    <w:rsid w:val="00E30B0C"/>
    <w:rsid w:val="00E30B6B"/>
    <w:rsid w:val="00E31722"/>
    <w:rsid w:val="00E32251"/>
    <w:rsid w:val="00E32BE2"/>
    <w:rsid w:val="00E330CD"/>
    <w:rsid w:val="00E3317F"/>
    <w:rsid w:val="00E335A8"/>
    <w:rsid w:val="00E34410"/>
    <w:rsid w:val="00E34474"/>
    <w:rsid w:val="00E34BC2"/>
    <w:rsid w:val="00E3508E"/>
    <w:rsid w:val="00E35182"/>
    <w:rsid w:val="00E361A0"/>
    <w:rsid w:val="00E36494"/>
    <w:rsid w:val="00E36644"/>
    <w:rsid w:val="00E370DA"/>
    <w:rsid w:val="00E377D0"/>
    <w:rsid w:val="00E41C24"/>
    <w:rsid w:val="00E41D20"/>
    <w:rsid w:val="00E426A0"/>
    <w:rsid w:val="00E429C0"/>
    <w:rsid w:val="00E42F75"/>
    <w:rsid w:val="00E43EFC"/>
    <w:rsid w:val="00E446F0"/>
    <w:rsid w:val="00E453E5"/>
    <w:rsid w:val="00E4643C"/>
    <w:rsid w:val="00E46640"/>
    <w:rsid w:val="00E46D43"/>
    <w:rsid w:val="00E47227"/>
    <w:rsid w:val="00E47F64"/>
    <w:rsid w:val="00E50482"/>
    <w:rsid w:val="00E50B41"/>
    <w:rsid w:val="00E51DC8"/>
    <w:rsid w:val="00E52E75"/>
    <w:rsid w:val="00E539B6"/>
    <w:rsid w:val="00E53AC1"/>
    <w:rsid w:val="00E53CE0"/>
    <w:rsid w:val="00E54803"/>
    <w:rsid w:val="00E54BA5"/>
    <w:rsid w:val="00E57BC5"/>
    <w:rsid w:val="00E57E94"/>
    <w:rsid w:val="00E60025"/>
    <w:rsid w:val="00E6219A"/>
    <w:rsid w:val="00E62A5A"/>
    <w:rsid w:val="00E630AD"/>
    <w:rsid w:val="00E63680"/>
    <w:rsid w:val="00E639E3"/>
    <w:rsid w:val="00E64269"/>
    <w:rsid w:val="00E64A4E"/>
    <w:rsid w:val="00E670FD"/>
    <w:rsid w:val="00E6784B"/>
    <w:rsid w:val="00E67FC1"/>
    <w:rsid w:val="00E70391"/>
    <w:rsid w:val="00E72DA8"/>
    <w:rsid w:val="00E736B2"/>
    <w:rsid w:val="00E73764"/>
    <w:rsid w:val="00E73B18"/>
    <w:rsid w:val="00E7447C"/>
    <w:rsid w:val="00E744D5"/>
    <w:rsid w:val="00E75D78"/>
    <w:rsid w:val="00E77D09"/>
    <w:rsid w:val="00E77DE1"/>
    <w:rsid w:val="00E80809"/>
    <w:rsid w:val="00E80AC1"/>
    <w:rsid w:val="00E810FF"/>
    <w:rsid w:val="00E8142D"/>
    <w:rsid w:val="00E81EE3"/>
    <w:rsid w:val="00E83135"/>
    <w:rsid w:val="00E8369D"/>
    <w:rsid w:val="00E839C2"/>
    <w:rsid w:val="00E85903"/>
    <w:rsid w:val="00E85EC4"/>
    <w:rsid w:val="00E86346"/>
    <w:rsid w:val="00E9323C"/>
    <w:rsid w:val="00E940E4"/>
    <w:rsid w:val="00E94643"/>
    <w:rsid w:val="00E95FE5"/>
    <w:rsid w:val="00E96A8E"/>
    <w:rsid w:val="00E96EA3"/>
    <w:rsid w:val="00E97F12"/>
    <w:rsid w:val="00EA1A25"/>
    <w:rsid w:val="00EA1B71"/>
    <w:rsid w:val="00EA28DD"/>
    <w:rsid w:val="00EA2C90"/>
    <w:rsid w:val="00EA343A"/>
    <w:rsid w:val="00EA3DAB"/>
    <w:rsid w:val="00EA5832"/>
    <w:rsid w:val="00EA5E96"/>
    <w:rsid w:val="00EA6C3B"/>
    <w:rsid w:val="00EA71B6"/>
    <w:rsid w:val="00EA783A"/>
    <w:rsid w:val="00EB0A92"/>
    <w:rsid w:val="00EB0E5E"/>
    <w:rsid w:val="00EB1486"/>
    <w:rsid w:val="00EB1A68"/>
    <w:rsid w:val="00EB21EC"/>
    <w:rsid w:val="00EB23FD"/>
    <w:rsid w:val="00EB2A2C"/>
    <w:rsid w:val="00EB3304"/>
    <w:rsid w:val="00EB36DD"/>
    <w:rsid w:val="00EB4143"/>
    <w:rsid w:val="00EB552B"/>
    <w:rsid w:val="00EB5907"/>
    <w:rsid w:val="00EB5D38"/>
    <w:rsid w:val="00EB5F06"/>
    <w:rsid w:val="00EB643D"/>
    <w:rsid w:val="00EB6DDE"/>
    <w:rsid w:val="00EB73E0"/>
    <w:rsid w:val="00EC042F"/>
    <w:rsid w:val="00EC06FD"/>
    <w:rsid w:val="00EC1D40"/>
    <w:rsid w:val="00EC1E36"/>
    <w:rsid w:val="00EC2ADB"/>
    <w:rsid w:val="00EC3989"/>
    <w:rsid w:val="00EC3FC9"/>
    <w:rsid w:val="00EC4BF4"/>
    <w:rsid w:val="00EC52C5"/>
    <w:rsid w:val="00EC58F8"/>
    <w:rsid w:val="00EC5E40"/>
    <w:rsid w:val="00EC5F54"/>
    <w:rsid w:val="00EC66CB"/>
    <w:rsid w:val="00EC77F6"/>
    <w:rsid w:val="00EC7F6B"/>
    <w:rsid w:val="00ED006C"/>
    <w:rsid w:val="00ED0AE0"/>
    <w:rsid w:val="00ED0E99"/>
    <w:rsid w:val="00ED2B8C"/>
    <w:rsid w:val="00ED318D"/>
    <w:rsid w:val="00ED3C5E"/>
    <w:rsid w:val="00ED4769"/>
    <w:rsid w:val="00ED4A29"/>
    <w:rsid w:val="00ED4A4C"/>
    <w:rsid w:val="00ED4F46"/>
    <w:rsid w:val="00ED545E"/>
    <w:rsid w:val="00ED5E0C"/>
    <w:rsid w:val="00ED627B"/>
    <w:rsid w:val="00ED68BA"/>
    <w:rsid w:val="00ED6AF1"/>
    <w:rsid w:val="00ED7B53"/>
    <w:rsid w:val="00ED7C2C"/>
    <w:rsid w:val="00EE0F5E"/>
    <w:rsid w:val="00EE1274"/>
    <w:rsid w:val="00EE12E1"/>
    <w:rsid w:val="00EE154E"/>
    <w:rsid w:val="00EE3F6F"/>
    <w:rsid w:val="00EE4AE1"/>
    <w:rsid w:val="00EE5239"/>
    <w:rsid w:val="00EE5984"/>
    <w:rsid w:val="00EE61CB"/>
    <w:rsid w:val="00EE6FF6"/>
    <w:rsid w:val="00EE760D"/>
    <w:rsid w:val="00EE7EC7"/>
    <w:rsid w:val="00EE7F5F"/>
    <w:rsid w:val="00EF06CE"/>
    <w:rsid w:val="00EF0889"/>
    <w:rsid w:val="00EF0BB0"/>
    <w:rsid w:val="00EF1694"/>
    <w:rsid w:val="00EF1C46"/>
    <w:rsid w:val="00EF2285"/>
    <w:rsid w:val="00EF2898"/>
    <w:rsid w:val="00EF2C29"/>
    <w:rsid w:val="00EF2E35"/>
    <w:rsid w:val="00EF2F16"/>
    <w:rsid w:val="00EF366A"/>
    <w:rsid w:val="00EF3680"/>
    <w:rsid w:val="00EF3D93"/>
    <w:rsid w:val="00EF4254"/>
    <w:rsid w:val="00EF470B"/>
    <w:rsid w:val="00EF5C8F"/>
    <w:rsid w:val="00EF79DA"/>
    <w:rsid w:val="00F00309"/>
    <w:rsid w:val="00F05992"/>
    <w:rsid w:val="00F05B5D"/>
    <w:rsid w:val="00F06653"/>
    <w:rsid w:val="00F066E6"/>
    <w:rsid w:val="00F06BD8"/>
    <w:rsid w:val="00F100DE"/>
    <w:rsid w:val="00F10B6B"/>
    <w:rsid w:val="00F10F66"/>
    <w:rsid w:val="00F11419"/>
    <w:rsid w:val="00F11567"/>
    <w:rsid w:val="00F11787"/>
    <w:rsid w:val="00F11A67"/>
    <w:rsid w:val="00F129DE"/>
    <w:rsid w:val="00F129E8"/>
    <w:rsid w:val="00F12B53"/>
    <w:rsid w:val="00F130BD"/>
    <w:rsid w:val="00F13866"/>
    <w:rsid w:val="00F13C3C"/>
    <w:rsid w:val="00F13C5E"/>
    <w:rsid w:val="00F144BB"/>
    <w:rsid w:val="00F14678"/>
    <w:rsid w:val="00F147F7"/>
    <w:rsid w:val="00F14AEE"/>
    <w:rsid w:val="00F16160"/>
    <w:rsid w:val="00F1645A"/>
    <w:rsid w:val="00F164AD"/>
    <w:rsid w:val="00F1656D"/>
    <w:rsid w:val="00F17733"/>
    <w:rsid w:val="00F177ED"/>
    <w:rsid w:val="00F1785C"/>
    <w:rsid w:val="00F2040B"/>
    <w:rsid w:val="00F2124D"/>
    <w:rsid w:val="00F2140F"/>
    <w:rsid w:val="00F228B1"/>
    <w:rsid w:val="00F22E5B"/>
    <w:rsid w:val="00F230C9"/>
    <w:rsid w:val="00F23BB6"/>
    <w:rsid w:val="00F248F2"/>
    <w:rsid w:val="00F2506F"/>
    <w:rsid w:val="00F25E39"/>
    <w:rsid w:val="00F27538"/>
    <w:rsid w:val="00F2768E"/>
    <w:rsid w:val="00F276E2"/>
    <w:rsid w:val="00F307CB"/>
    <w:rsid w:val="00F30B54"/>
    <w:rsid w:val="00F30E45"/>
    <w:rsid w:val="00F314F2"/>
    <w:rsid w:val="00F3184C"/>
    <w:rsid w:val="00F342BD"/>
    <w:rsid w:val="00F34803"/>
    <w:rsid w:val="00F34DAC"/>
    <w:rsid w:val="00F35524"/>
    <w:rsid w:val="00F355E0"/>
    <w:rsid w:val="00F36182"/>
    <w:rsid w:val="00F40361"/>
    <w:rsid w:val="00F40866"/>
    <w:rsid w:val="00F40A3E"/>
    <w:rsid w:val="00F40DD5"/>
    <w:rsid w:val="00F421DF"/>
    <w:rsid w:val="00F42600"/>
    <w:rsid w:val="00F42EAB"/>
    <w:rsid w:val="00F445BC"/>
    <w:rsid w:val="00F44B5D"/>
    <w:rsid w:val="00F45229"/>
    <w:rsid w:val="00F4596A"/>
    <w:rsid w:val="00F4628D"/>
    <w:rsid w:val="00F46545"/>
    <w:rsid w:val="00F4771C"/>
    <w:rsid w:val="00F478C9"/>
    <w:rsid w:val="00F5033A"/>
    <w:rsid w:val="00F504ED"/>
    <w:rsid w:val="00F50501"/>
    <w:rsid w:val="00F50B99"/>
    <w:rsid w:val="00F5117B"/>
    <w:rsid w:val="00F51921"/>
    <w:rsid w:val="00F52292"/>
    <w:rsid w:val="00F52988"/>
    <w:rsid w:val="00F52AE5"/>
    <w:rsid w:val="00F531C7"/>
    <w:rsid w:val="00F53481"/>
    <w:rsid w:val="00F53870"/>
    <w:rsid w:val="00F5389B"/>
    <w:rsid w:val="00F53C4C"/>
    <w:rsid w:val="00F54545"/>
    <w:rsid w:val="00F548F3"/>
    <w:rsid w:val="00F54BB8"/>
    <w:rsid w:val="00F54C64"/>
    <w:rsid w:val="00F54E46"/>
    <w:rsid w:val="00F5555E"/>
    <w:rsid w:val="00F561D0"/>
    <w:rsid w:val="00F56713"/>
    <w:rsid w:val="00F57ACA"/>
    <w:rsid w:val="00F57CB1"/>
    <w:rsid w:val="00F6035C"/>
    <w:rsid w:val="00F60F6E"/>
    <w:rsid w:val="00F6133C"/>
    <w:rsid w:val="00F61957"/>
    <w:rsid w:val="00F62CC2"/>
    <w:rsid w:val="00F63888"/>
    <w:rsid w:val="00F63C8B"/>
    <w:rsid w:val="00F646F4"/>
    <w:rsid w:val="00F65241"/>
    <w:rsid w:val="00F66B77"/>
    <w:rsid w:val="00F66F7C"/>
    <w:rsid w:val="00F6737B"/>
    <w:rsid w:val="00F6771B"/>
    <w:rsid w:val="00F70C86"/>
    <w:rsid w:val="00F71D6E"/>
    <w:rsid w:val="00F71E37"/>
    <w:rsid w:val="00F7341A"/>
    <w:rsid w:val="00F73960"/>
    <w:rsid w:val="00F73C0E"/>
    <w:rsid w:val="00F7463B"/>
    <w:rsid w:val="00F74888"/>
    <w:rsid w:val="00F74E04"/>
    <w:rsid w:val="00F74FBA"/>
    <w:rsid w:val="00F76334"/>
    <w:rsid w:val="00F765F0"/>
    <w:rsid w:val="00F76C24"/>
    <w:rsid w:val="00F7709C"/>
    <w:rsid w:val="00F771A3"/>
    <w:rsid w:val="00F774E6"/>
    <w:rsid w:val="00F77C76"/>
    <w:rsid w:val="00F7F04C"/>
    <w:rsid w:val="00F82CB3"/>
    <w:rsid w:val="00F8405D"/>
    <w:rsid w:val="00F871CE"/>
    <w:rsid w:val="00F8730A"/>
    <w:rsid w:val="00F87D69"/>
    <w:rsid w:val="00F87EAA"/>
    <w:rsid w:val="00F90625"/>
    <w:rsid w:val="00F91947"/>
    <w:rsid w:val="00F919BE"/>
    <w:rsid w:val="00F91BE2"/>
    <w:rsid w:val="00F922FE"/>
    <w:rsid w:val="00F92522"/>
    <w:rsid w:val="00F93A97"/>
    <w:rsid w:val="00F93F45"/>
    <w:rsid w:val="00F947A1"/>
    <w:rsid w:val="00F9545A"/>
    <w:rsid w:val="00F96BC9"/>
    <w:rsid w:val="00FA0109"/>
    <w:rsid w:val="00FA0455"/>
    <w:rsid w:val="00FA0F02"/>
    <w:rsid w:val="00FA2904"/>
    <w:rsid w:val="00FA2D45"/>
    <w:rsid w:val="00FA2F84"/>
    <w:rsid w:val="00FA3F10"/>
    <w:rsid w:val="00FA41C7"/>
    <w:rsid w:val="00FA48E5"/>
    <w:rsid w:val="00FA49E6"/>
    <w:rsid w:val="00FA4F04"/>
    <w:rsid w:val="00FA543C"/>
    <w:rsid w:val="00FA56A8"/>
    <w:rsid w:val="00FA6163"/>
    <w:rsid w:val="00FA633B"/>
    <w:rsid w:val="00FA688A"/>
    <w:rsid w:val="00FA72BD"/>
    <w:rsid w:val="00FA76A9"/>
    <w:rsid w:val="00FA76AF"/>
    <w:rsid w:val="00FA7D84"/>
    <w:rsid w:val="00FB1873"/>
    <w:rsid w:val="00FB237A"/>
    <w:rsid w:val="00FB2800"/>
    <w:rsid w:val="00FB28AB"/>
    <w:rsid w:val="00FB2C8A"/>
    <w:rsid w:val="00FB3E7A"/>
    <w:rsid w:val="00FB58D2"/>
    <w:rsid w:val="00FB5982"/>
    <w:rsid w:val="00FB59E3"/>
    <w:rsid w:val="00FB5D1A"/>
    <w:rsid w:val="00FB5DFA"/>
    <w:rsid w:val="00FB7D98"/>
    <w:rsid w:val="00FB7E21"/>
    <w:rsid w:val="00FC090A"/>
    <w:rsid w:val="00FC1BD6"/>
    <w:rsid w:val="00FC2DEE"/>
    <w:rsid w:val="00FC4DF1"/>
    <w:rsid w:val="00FC56ED"/>
    <w:rsid w:val="00FC5769"/>
    <w:rsid w:val="00FC58E8"/>
    <w:rsid w:val="00FC658A"/>
    <w:rsid w:val="00FC6B17"/>
    <w:rsid w:val="00FC6B29"/>
    <w:rsid w:val="00FC6C4E"/>
    <w:rsid w:val="00FC6FF4"/>
    <w:rsid w:val="00FC70CF"/>
    <w:rsid w:val="00FC7FDD"/>
    <w:rsid w:val="00FD1014"/>
    <w:rsid w:val="00FD2318"/>
    <w:rsid w:val="00FD3290"/>
    <w:rsid w:val="00FD34BC"/>
    <w:rsid w:val="00FD3FDD"/>
    <w:rsid w:val="00FD403E"/>
    <w:rsid w:val="00FD53BA"/>
    <w:rsid w:val="00FD5EE5"/>
    <w:rsid w:val="00FD793B"/>
    <w:rsid w:val="00FE00DE"/>
    <w:rsid w:val="00FE0221"/>
    <w:rsid w:val="00FE0486"/>
    <w:rsid w:val="00FE05D0"/>
    <w:rsid w:val="00FE0EC4"/>
    <w:rsid w:val="00FE116E"/>
    <w:rsid w:val="00FE16A7"/>
    <w:rsid w:val="00FE43D9"/>
    <w:rsid w:val="00FE44E1"/>
    <w:rsid w:val="00FE4833"/>
    <w:rsid w:val="00FE55B0"/>
    <w:rsid w:val="00FE5D77"/>
    <w:rsid w:val="00FE5EBF"/>
    <w:rsid w:val="00FE5F3C"/>
    <w:rsid w:val="00FE6FC3"/>
    <w:rsid w:val="00FE746E"/>
    <w:rsid w:val="00FF03C5"/>
    <w:rsid w:val="00FF11C4"/>
    <w:rsid w:val="00FF3665"/>
    <w:rsid w:val="00FF36D9"/>
    <w:rsid w:val="00FF43A9"/>
    <w:rsid w:val="00FF4607"/>
    <w:rsid w:val="00FF6077"/>
    <w:rsid w:val="00FF656A"/>
    <w:rsid w:val="00FF67EF"/>
    <w:rsid w:val="00FF6D57"/>
    <w:rsid w:val="00FF7074"/>
    <w:rsid w:val="00FF71A5"/>
    <w:rsid w:val="014508EF"/>
    <w:rsid w:val="01674973"/>
    <w:rsid w:val="01723626"/>
    <w:rsid w:val="01913441"/>
    <w:rsid w:val="02234FB5"/>
    <w:rsid w:val="0282C3F6"/>
    <w:rsid w:val="02CB4471"/>
    <w:rsid w:val="02DF0EAA"/>
    <w:rsid w:val="02F0922F"/>
    <w:rsid w:val="0335BD0A"/>
    <w:rsid w:val="0355F01B"/>
    <w:rsid w:val="03C95715"/>
    <w:rsid w:val="0490E96A"/>
    <w:rsid w:val="04F603F5"/>
    <w:rsid w:val="04FFDD16"/>
    <w:rsid w:val="051DD759"/>
    <w:rsid w:val="05AC55ED"/>
    <w:rsid w:val="05B11E67"/>
    <w:rsid w:val="061E27DD"/>
    <w:rsid w:val="06E60171"/>
    <w:rsid w:val="074AF3A6"/>
    <w:rsid w:val="083CBFE7"/>
    <w:rsid w:val="085DFBFC"/>
    <w:rsid w:val="08B58544"/>
    <w:rsid w:val="08B88EFF"/>
    <w:rsid w:val="08E3B7C5"/>
    <w:rsid w:val="092521C7"/>
    <w:rsid w:val="0933B9C0"/>
    <w:rsid w:val="0A3BBD6B"/>
    <w:rsid w:val="0A46AD9E"/>
    <w:rsid w:val="0AC2403F"/>
    <w:rsid w:val="0AC958FE"/>
    <w:rsid w:val="0B1360F5"/>
    <w:rsid w:val="0B24EF28"/>
    <w:rsid w:val="0B5FEF8D"/>
    <w:rsid w:val="0B65D8D4"/>
    <w:rsid w:val="0C79BCD3"/>
    <w:rsid w:val="0C897A58"/>
    <w:rsid w:val="0CBC7103"/>
    <w:rsid w:val="0CCE023D"/>
    <w:rsid w:val="0CE849B9"/>
    <w:rsid w:val="0D0C38DB"/>
    <w:rsid w:val="0D47D9F8"/>
    <w:rsid w:val="0DBE60FF"/>
    <w:rsid w:val="0DD8ACEA"/>
    <w:rsid w:val="0EA8FB9E"/>
    <w:rsid w:val="0EF53167"/>
    <w:rsid w:val="0F05A916"/>
    <w:rsid w:val="0FC94164"/>
    <w:rsid w:val="108BCC81"/>
    <w:rsid w:val="10AFE7B4"/>
    <w:rsid w:val="10C9559C"/>
    <w:rsid w:val="10CB612D"/>
    <w:rsid w:val="10D17D29"/>
    <w:rsid w:val="10EE253D"/>
    <w:rsid w:val="11280FD7"/>
    <w:rsid w:val="1231ED86"/>
    <w:rsid w:val="12464E34"/>
    <w:rsid w:val="1269E3FF"/>
    <w:rsid w:val="131D1E56"/>
    <w:rsid w:val="13A710CE"/>
    <w:rsid w:val="147650C8"/>
    <w:rsid w:val="14E8479B"/>
    <w:rsid w:val="1517BAC4"/>
    <w:rsid w:val="151AA938"/>
    <w:rsid w:val="15D5243C"/>
    <w:rsid w:val="16808593"/>
    <w:rsid w:val="16A95684"/>
    <w:rsid w:val="16D0D43D"/>
    <w:rsid w:val="17005424"/>
    <w:rsid w:val="1717D472"/>
    <w:rsid w:val="1754BCB6"/>
    <w:rsid w:val="1779E3C9"/>
    <w:rsid w:val="178E278D"/>
    <w:rsid w:val="184B31C0"/>
    <w:rsid w:val="18B457BD"/>
    <w:rsid w:val="18B653B3"/>
    <w:rsid w:val="18E84CF3"/>
    <w:rsid w:val="192997A4"/>
    <w:rsid w:val="198B23E6"/>
    <w:rsid w:val="19AED002"/>
    <w:rsid w:val="19B66579"/>
    <w:rsid w:val="19E8C0E3"/>
    <w:rsid w:val="1A2E2C28"/>
    <w:rsid w:val="1A649FB3"/>
    <w:rsid w:val="1A7B7B62"/>
    <w:rsid w:val="1AEAD5FA"/>
    <w:rsid w:val="1AFC91B8"/>
    <w:rsid w:val="1B142202"/>
    <w:rsid w:val="1B21B5FF"/>
    <w:rsid w:val="1B6A8700"/>
    <w:rsid w:val="1B6A8858"/>
    <w:rsid w:val="1CB2DB3D"/>
    <w:rsid w:val="1D52B299"/>
    <w:rsid w:val="1D92E346"/>
    <w:rsid w:val="1E2B2CFF"/>
    <w:rsid w:val="1EA697FE"/>
    <w:rsid w:val="1EE1ECAB"/>
    <w:rsid w:val="1F853F0F"/>
    <w:rsid w:val="1FA72B1C"/>
    <w:rsid w:val="1FACCC9E"/>
    <w:rsid w:val="1FE7C9FC"/>
    <w:rsid w:val="201FBA7D"/>
    <w:rsid w:val="2022BCDB"/>
    <w:rsid w:val="2055E17E"/>
    <w:rsid w:val="20D553E9"/>
    <w:rsid w:val="2119B0F2"/>
    <w:rsid w:val="2147179A"/>
    <w:rsid w:val="2175387E"/>
    <w:rsid w:val="21D26ED9"/>
    <w:rsid w:val="21E3B613"/>
    <w:rsid w:val="21FD729B"/>
    <w:rsid w:val="226B9BF3"/>
    <w:rsid w:val="229FF09F"/>
    <w:rsid w:val="237EFB75"/>
    <w:rsid w:val="23862939"/>
    <w:rsid w:val="23D31675"/>
    <w:rsid w:val="23EE06DD"/>
    <w:rsid w:val="23FFE23E"/>
    <w:rsid w:val="24619BFD"/>
    <w:rsid w:val="246D7224"/>
    <w:rsid w:val="2557A900"/>
    <w:rsid w:val="262427B9"/>
    <w:rsid w:val="26B96B70"/>
    <w:rsid w:val="2702EF38"/>
    <w:rsid w:val="274A0199"/>
    <w:rsid w:val="28360597"/>
    <w:rsid w:val="28C24ABC"/>
    <w:rsid w:val="2908AC18"/>
    <w:rsid w:val="29242486"/>
    <w:rsid w:val="294F8BC5"/>
    <w:rsid w:val="2952E2F5"/>
    <w:rsid w:val="29D31ECB"/>
    <w:rsid w:val="29D9D784"/>
    <w:rsid w:val="2A644A36"/>
    <w:rsid w:val="2A69FFAB"/>
    <w:rsid w:val="2A6D51EF"/>
    <w:rsid w:val="2A7DDC5E"/>
    <w:rsid w:val="2B72FD31"/>
    <w:rsid w:val="2B9B16F6"/>
    <w:rsid w:val="2BB14F21"/>
    <w:rsid w:val="2BD112C0"/>
    <w:rsid w:val="2BFF5466"/>
    <w:rsid w:val="2C15603F"/>
    <w:rsid w:val="2C26AD72"/>
    <w:rsid w:val="2C56589B"/>
    <w:rsid w:val="2C5F7C92"/>
    <w:rsid w:val="2C716B66"/>
    <w:rsid w:val="2CE0E064"/>
    <w:rsid w:val="2CECB30C"/>
    <w:rsid w:val="2D5E1EFD"/>
    <w:rsid w:val="2E9F032B"/>
    <w:rsid w:val="2EBDEEA1"/>
    <w:rsid w:val="2EBF11B6"/>
    <w:rsid w:val="2ECA2A9E"/>
    <w:rsid w:val="2F8908A9"/>
    <w:rsid w:val="301160A6"/>
    <w:rsid w:val="3028E9DE"/>
    <w:rsid w:val="3076A45C"/>
    <w:rsid w:val="31B6E0DD"/>
    <w:rsid w:val="31BE7617"/>
    <w:rsid w:val="32387632"/>
    <w:rsid w:val="32B703E8"/>
    <w:rsid w:val="32ED5C0A"/>
    <w:rsid w:val="333605F4"/>
    <w:rsid w:val="33CB7DAE"/>
    <w:rsid w:val="349AFC19"/>
    <w:rsid w:val="34A7AF44"/>
    <w:rsid w:val="34EADAF9"/>
    <w:rsid w:val="35D6E55F"/>
    <w:rsid w:val="36CA4CA9"/>
    <w:rsid w:val="373D2F29"/>
    <w:rsid w:val="3756D33F"/>
    <w:rsid w:val="3887FD0A"/>
    <w:rsid w:val="38929FD8"/>
    <w:rsid w:val="3894D265"/>
    <w:rsid w:val="38B64FB7"/>
    <w:rsid w:val="390A3596"/>
    <w:rsid w:val="39730D1D"/>
    <w:rsid w:val="399E2F9D"/>
    <w:rsid w:val="39A9B657"/>
    <w:rsid w:val="39C06AEA"/>
    <w:rsid w:val="3A48BDFE"/>
    <w:rsid w:val="3A93ADF6"/>
    <w:rsid w:val="3AAB1EA1"/>
    <w:rsid w:val="3B33A57D"/>
    <w:rsid w:val="3B92FD4E"/>
    <w:rsid w:val="3BF107DE"/>
    <w:rsid w:val="3C0E99A9"/>
    <w:rsid w:val="3C5C6DB7"/>
    <w:rsid w:val="3C6BE9E8"/>
    <w:rsid w:val="3CA154D3"/>
    <w:rsid w:val="3CD8B4B0"/>
    <w:rsid w:val="3D451D7E"/>
    <w:rsid w:val="3D83B437"/>
    <w:rsid w:val="3E3582FC"/>
    <w:rsid w:val="3E46B2F6"/>
    <w:rsid w:val="3E77A34E"/>
    <w:rsid w:val="3E876C92"/>
    <w:rsid w:val="3F377271"/>
    <w:rsid w:val="3F4306FE"/>
    <w:rsid w:val="3F500928"/>
    <w:rsid w:val="3FC5B718"/>
    <w:rsid w:val="40493E4F"/>
    <w:rsid w:val="41C68927"/>
    <w:rsid w:val="420D3256"/>
    <w:rsid w:val="4224D2D6"/>
    <w:rsid w:val="429A9F76"/>
    <w:rsid w:val="42F074FC"/>
    <w:rsid w:val="430BB2AC"/>
    <w:rsid w:val="4358987C"/>
    <w:rsid w:val="4369C32A"/>
    <w:rsid w:val="437EB99A"/>
    <w:rsid w:val="43B6A904"/>
    <w:rsid w:val="442C5D5C"/>
    <w:rsid w:val="445E9E98"/>
    <w:rsid w:val="4462B99A"/>
    <w:rsid w:val="44AC749A"/>
    <w:rsid w:val="460F7F4B"/>
    <w:rsid w:val="464F3FC3"/>
    <w:rsid w:val="46B99B0E"/>
    <w:rsid w:val="46BA7BA9"/>
    <w:rsid w:val="46D125E3"/>
    <w:rsid w:val="47023E37"/>
    <w:rsid w:val="47334EC4"/>
    <w:rsid w:val="47472EDA"/>
    <w:rsid w:val="48B7E2A4"/>
    <w:rsid w:val="49432D23"/>
    <w:rsid w:val="494B09B7"/>
    <w:rsid w:val="495928AA"/>
    <w:rsid w:val="4A3FCEB5"/>
    <w:rsid w:val="4A40C834"/>
    <w:rsid w:val="4B6CBB40"/>
    <w:rsid w:val="4BA42B54"/>
    <w:rsid w:val="4C02AE13"/>
    <w:rsid w:val="4C192C22"/>
    <w:rsid w:val="4D4E7692"/>
    <w:rsid w:val="4D7AFA33"/>
    <w:rsid w:val="4DD31734"/>
    <w:rsid w:val="4E4BECE0"/>
    <w:rsid w:val="4E7C8402"/>
    <w:rsid w:val="4ED9DCEF"/>
    <w:rsid w:val="4F7169A4"/>
    <w:rsid w:val="4F7DB661"/>
    <w:rsid w:val="4FB0F5A8"/>
    <w:rsid w:val="50759EA7"/>
    <w:rsid w:val="50910CA2"/>
    <w:rsid w:val="50FEDCAE"/>
    <w:rsid w:val="511AB3E3"/>
    <w:rsid w:val="511CF52B"/>
    <w:rsid w:val="511D9268"/>
    <w:rsid w:val="5250E43D"/>
    <w:rsid w:val="525CD3E3"/>
    <w:rsid w:val="5278C317"/>
    <w:rsid w:val="53BBCEB8"/>
    <w:rsid w:val="53E91FD6"/>
    <w:rsid w:val="543CA563"/>
    <w:rsid w:val="546E99E3"/>
    <w:rsid w:val="54813AD3"/>
    <w:rsid w:val="54DF050E"/>
    <w:rsid w:val="55BE35B3"/>
    <w:rsid w:val="562C07C4"/>
    <w:rsid w:val="56CF595F"/>
    <w:rsid w:val="56D3BFEB"/>
    <w:rsid w:val="56F10175"/>
    <w:rsid w:val="5762E855"/>
    <w:rsid w:val="57D8F396"/>
    <w:rsid w:val="58AD465F"/>
    <w:rsid w:val="58D2C586"/>
    <w:rsid w:val="58FEDF69"/>
    <w:rsid w:val="5916993C"/>
    <w:rsid w:val="5A229B84"/>
    <w:rsid w:val="5A5AECAB"/>
    <w:rsid w:val="5A663EB4"/>
    <w:rsid w:val="5AA66498"/>
    <w:rsid w:val="5AD30FC9"/>
    <w:rsid w:val="5B28E444"/>
    <w:rsid w:val="5BC43E13"/>
    <w:rsid w:val="5C0FFFAB"/>
    <w:rsid w:val="5C47408F"/>
    <w:rsid w:val="5C56338E"/>
    <w:rsid w:val="5C57638A"/>
    <w:rsid w:val="5CB28F96"/>
    <w:rsid w:val="5CB7886D"/>
    <w:rsid w:val="5CCDE76C"/>
    <w:rsid w:val="5CE4418D"/>
    <w:rsid w:val="5CE64745"/>
    <w:rsid w:val="5E81B470"/>
    <w:rsid w:val="5E9AC822"/>
    <w:rsid w:val="5EF16055"/>
    <w:rsid w:val="5F2511A7"/>
    <w:rsid w:val="5FD01769"/>
    <w:rsid w:val="60DFE0A2"/>
    <w:rsid w:val="61F0C759"/>
    <w:rsid w:val="61F33621"/>
    <w:rsid w:val="630F2D80"/>
    <w:rsid w:val="6437D2C1"/>
    <w:rsid w:val="645840D0"/>
    <w:rsid w:val="64791C90"/>
    <w:rsid w:val="64A988CB"/>
    <w:rsid w:val="64AF0007"/>
    <w:rsid w:val="64BA3B34"/>
    <w:rsid w:val="65139806"/>
    <w:rsid w:val="651AC363"/>
    <w:rsid w:val="654FCE8F"/>
    <w:rsid w:val="65E5FCC3"/>
    <w:rsid w:val="65FA9C44"/>
    <w:rsid w:val="66BC4EB5"/>
    <w:rsid w:val="67312549"/>
    <w:rsid w:val="682484D5"/>
    <w:rsid w:val="682CDD3D"/>
    <w:rsid w:val="68AF8361"/>
    <w:rsid w:val="69023A02"/>
    <w:rsid w:val="6988AE5D"/>
    <w:rsid w:val="6AFE06F9"/>
    <w:rsid w:val="6B01FCB7"/>
    <w:rsid w:val="6B843D34"/>
    <w:rsid w:val="6BCAF57D"/>
    <w:rsid w:val="6BF96B63"/>
    <w:rsid w:val="6C91D76A"/>
    <w:rsid w:val="6CA4E28E"/>
    <w:rsid w:val="6CB00A91"/>
    <w:rsid w:val="6DA7D2F3"/>
    <w:rsid w:val="6DE345FC"/>
    <w:rsid w:val="6DE69298"/>
    <w:rsid w:val="6E1C0BD6"/>
    <w:rsid w:val="6E905C23"/>
    <w:rsid w:val="6EBF286E"/>
    <w:rsid w:val="6F0FFC44"/>
    <w:rsid w:val="6F1936A3"/>
    <w:rsid w:val="6F2863A7"/>
    <w:rsid w:val="6FA5A86F"/>
    <w:rsid w:val="6FBE4944"/>
    <w:rsid w:val="6FDD7ABC"/>
    <w:rsid w:val="6FE44913"/>
    <w:rsid w:val="7074195F"/>
    <w:rsid w:val="70BB3CF0"/>
    <w:rsid w:val="71266035"/>
    <w:rsid w:val="71AF1AB5"/>
    <w:rsid w:val="71AFC626"/>
    <w:rsid w:val="720A8D5B"/>
    <w:rsid w:val="73148EC5"/>
    <w:rsid w:val="73539B90"/>
    <w:rsid w:val="748F1A2B"/>
    <w:rsid w:val="74BD5439"/>
    <w:rsid w:val="75059086"/>
    <w:rsid w:val="753D8F5F"/>
    <w:rsid w:val="75674BC2"/>
    <w:rsid w:val="75C4636D"/>
    <w:rsid w:val="76684554"/>
    <w:rsid w:val="768E5BC1"/>
    <w:rsid w:val="76C7D4B0"/>
    <w:rsid w:val="7728E9D2"/>
    <w:rsid w:val="7926772E"/>
    <w:rsid w:val="79576740"/>
    <w:rsid w:val="7957F619"/>
    <w:rsid w:val="79E0B78D"/>
    <w:rsid w:val="7A477CDE"/>
    <w:rsid w:val="7AD23148"/>
    <w:rsid w:val="7AF8FF96"/>
    <w:rsid w:val="7B15F72C"/>
    <w:rsid w:val="7B1BECDC"/>
    <w:rsid w:val="7B4F1A97"/>
    <w:rsid w:val="7B7FF9EA"/>
    <w:rsid w:val="7C05FE0F"/>
    <w:rsid w:val="7C3F86E6"/>
    <w:rsid w:val="7CB6AFC6"/>
    <w:rsid w:val="7D519536"/>
    <w:rsid w:val="7D69C494"/>
    <w:rsid w:val="7D94F0CD"/>
    <w:rsid w:val="7DBDE2B9"/>
    <w:rsid w:val="7E4FE29C"/>
    <w:rsid w:val="7E75506D"/>
    <w:rsid w:val="7E926876"/>
    <w:rsid w:val="7EEC8EE7"/>
    <w:rsid w:val="7F4B6681"/>
    <w:rsid w:val="7F89EE3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EEC0A4"/>
  <w15:chartTrackingRefBased/>
  <w15:docId w15:val="{9C75C26A-654F-4C86-85B1-2F731B83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after="120" w:line="252"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2E6E0E"/>
    <w:pPr>
      <w:spacing w:before="200" w:after="200" w:line="300" w:lineRule="atLeast"/>
    </w:pPr>
  </w:style>
  <w:style w:type="paragraph" w:styleId="Heading1">
    <w:name w:val="heading 1"/>
    <w:basedOn w:val="Normal"/>
    <w:next w:val="Normal"/>
    <w:link w:val="Heading1Char"/>
    <w:uiPriority w:val="1"/>
    <w:qFormat/>
    <w:rsid w:val="00825DAF"/>
    <w:pPr>
      <w:keepNext/>
      <w:keepLines/>
      <w:pageBreakBefore/>
      <w:spacing w:after="480"/>
      <w:outlineLvl w:val="0"/>
    </w:pPr>
    <w:rPr>
      <w:bCs/>
      <w:color w:val="2E1A47" w:themeColor="text2"/>
      <w:sz w:val="48"/>
      <w:szCs w:val="44"/>
    </w:rPr>
  </w:style>
  <w:style w:type="paragraph" w:styleId="Heading2">
    <w:name w:val="heading 2"/>
    <w:basedOn w:val="Normal"/>
    <w:next w:val="Normal"/>
    <w:link w:val="Heading2Char"/>
    <w:uiPriority w:val="9"/>
    <w:unhideWhenUsed/>
    <w:rsid w:val="00003409"/>
    <w:pPr>
      <w:keepNext/>
      <w:keepLines/>
      <w:spacing w:before="480" w:after="360" w:line="420" w:lineRule="atLeast"/>
      <w:outlineLvl w:val="1"/>
    </w:pPr>
    <w:rPr>
      <w:color w:val="7A4282" w:themeColor="accent1"/>
      <w:sz w:val="32"/>
      <w:szCs w:val="32"/>
    </w:rPr>
  </w:style>
  <w:style w:type="paragraph" w:styleId="Heading3">
    <w:name w:val="heading 3"/>
    <w:basedOn w:val="Normal"/>
    <w:next w:val="Normal"/>
    <w:link w:val="Heading3Char"/>
    <w:uiPriority w:val="9"/>
    <w:unhideWhenUsed/>
    <w:rsid w:val="00170E31"/>
    <w:pPr>
      <w:keepNext/>
      <w:keepLines/>
      <w:spacing w:before="360" w:after="240" w:line="240" w:lineRule="atLeast"/>
      <w:outlineLvl w:val="2"/>
    </w:pPr>
    <w:rPr>
      <w:b/>
      <w:bCs/>
      <w:color w:val="2E1A47" w:themeColor="text2"/>
    </w:rPr>
  </w:style>
  <w:style w:type="paragraph" w:styleId="Heading4">
    <w:name w:val="heading 4"/>
    <w:basedOn w:val="Normal"/>
    <w:next w:val="Normal"/>
    <w:link w:val="Heading4Char"/>
    <w:uiPriority w:val="9"/>
    <w:unhideWhenUsed/>
    <w:rsid w:val="00702CAA"/>
    <w:pPr>
      <w:keepNext/>
      <w:keepLines/>
      <w:spacing w:before="360" w:after="240"/>
      <w:outlineLvl w:val="3"/>
    </w:pPr>
    <w:rPr>
      <w:color w:val="2E1A47" w:themeColor="text2"/>
    </w:rPr>
  </w:style>
  <w:style w:type="paragraph" w:styleId="Heading5">
    <w:name w:val="heading 5"/>
    <w:basedOn w:val="Normal"/>
    <w:next w:val="Normal"/>
    <w:link w:val="Heading5Char"/>
    <w:uiPriority w:val="9"/>
    <w:unhideWhenUsed/>
    <w:rsid w:val="009B44B1"/>
    <w:pPr>
      <w:keepNext/>
      <w:keepLines/>
      <w:spacing w:before="360" w:after="240"/>
      <w:outlineLvl w:val="4"/>
    </w:pPr>
    <w:rPr>
      <w:rFonts w:asciiTheme="majorHAnsi" w:eastAsiaTheme="majorEastAsia" w:hAnsiTheme="majorHAnsi" w:cstheme="majorBidi"/>
      <w:color w:val="5B31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D65FFD"/>
    <w:pPr>
      <w:numPr>
        <w:numId w:val="1"/>
      </w:numPr>
    </w:pPr>
  </w:style>
  <w:style w:type="paragraph" w:styleId="Date">
    <w:name w:val="Date"/>
    <w:basedOn w:val="Normal"/>
    <w:next w:val="Normal"/>
    <w:link w:val="DateChar"/>
    <w:uiPriority w:val="99"/>
    <w:unhideWhenUsed/>
    <w:rsid w:val="00F73C0E"/>
    <w:pPr>
      <w:spacing w:after="780"/>
    </w:pPr>
    <w:rPr>
      <w:color w:val="FFFFFF" w:themeColor="background1"/>
      <w:sz w:val="26"/>
    </w:rPr>
  </w:style>
  <w:style w:type="character" w:customStyle="1" w:styleId="DateChar">
    <w:name w:val="Date Char"/>
    <w:basedOn w:val="DefaultParagraphFont"/>
    <w:link w:val="Date"/>
    <w:uiPriority w:val="99"/>
    <w:rsid w:val="00F73C0E"/>
    <w:rPr>
      <w:color w:val="FFFFFF" w:themeColor="background1"/>
      <w:sz w:val="26"/>
    </w:rPr>
  </w:style>
  <w:style w:type="character" w:customStyle="1" w:styleId="Heading1Char">
    <w:name w:val="Heading 1 Char"/>
    <w:basedOn w:val="DefaultParagraphFont"/>
    <w:link w:val="Heading1"/>
    <w:uiPriority w:val="1"/>
    <w:rsid w:val="00825DAF"/>
    <w:rPr>
      <w:bCs/>
      <w:color w:val="2E1A47" w:themeColor="text2"/>
      <w:sz w:val="48"/>
      <w:szCs w:val="44"/>
    </w:rPr>
  </w:style>
  <w:style w:type="paragraph" w:customStyle="1" w:styleId="Introcopy">
    <w:name w:val="Intro copy"/>
    <w:basedOn w:val="Normal"/>
    <w:link w:val="IntrocopyChar"/>
    <w:uiPriority w:val="1"/>
    <w:qFormat/>
    <w:rsid w:val="00A37E4C"/>
    <w:pPr>
      <w:spacing w:after="720" w:line="420" w:lineRule="exact"/>
    </w:pPr>
    <w:rPr>
      <w:color w:val="2E1A47" w:themeColor="text2"/>
      <w:sz w:val="32"/>
      <w:szCs w:val="32"/>
    </w:rPr>
  </w:style>
  <w:style w:type="character" w:customStyle="1" w:styleId="Heading2Char">
    <w:name w:val="Heading 2 Char"/>
    <w:basedOn w:val="DefaultParagraphFont"/>
    <w:link w:val="Heading2"/>
    <w:uiPriority w:val="9"/>
    <w:rsid w:val="00003409"/>
    <w:rPr>
      <w:color w:val="7A4282" w:themeColor="accent1"/>
      <w:sz w:val="32"/>
      <w:szCs w:val="32"/>
    </w:rPr>
  </w:style>
  <w:style w:type="character" w:customStyle="1" w:styleId="Heading3Char">
    <w:name w:val="Heading 3 Char"/>
    <w:basedOn w:val="DefaultParagraphFont"/>
    <w:link w:val="Heading3"/>
    <w:uiPriority w:val="9"/>
    <w:rsid w:val="00170E31"/>
    <w:rPr>
      <w:b/>
      <w:bCs/>
      <w:color w:val="2E1A47" w:themeColor="text2"/>
    </w:rPr>
  </w:style>
  <w:style w:type="character" w:customStyle="1" w:styleId="Heading4Char">
    <w:name w:val="Heading 4 Char"/>
    <w:basedOn w:val="DefaultParagraphFont"/>
    <w:link w:val="Heading4"/>
    <w:uiPriority w:val="9"/>
    <w:rsid w:val="00702CAA"/>
    <w:rPr>
      <w:color w:val="2E1A47" w:themeColor="text2"/>
    </w:rPr>
  </w:style>
  <w:style w:type="paragraph" w:styleId="ListBullet">
    <w:name w:val="List Bullet"/>
    <w:aliases w:val="BulletList,BulletList1"/>
    <w:basedOn w:val="Normal"/>
    <w:link w:val="ListBulletChar"/>
    <w:uiPriority w:val="99"/>
    <w:unhideWhenUsed/>
    <w:rsid w:val="004751B4"/>
    <w:pPr>
      <w:numPr>
        <w:numId w:val="2"/>
      </w:numPr>
      <w:snapToGrid w:val="0"/>
      <w:spacing w:before="0"/>
    </w:pPr>
  </w:style>
  <w:style w:type="paragraph" w:styleId="ListBullet2">
    <w:name w:val="List Bullet 2"/>
    <w:aliases w:val="Bullet list 2,BulletList2"/>
    <w:basedOn w:val="Normal"/>
    <w:uiPriority w:val="99"/>
    <w:unhideWhenUsed/>
    <w:rsid w:val="004751B4"/>
    <w:pPr>
      <w:numPr>
        <w:ilvl w:val="1"/>
        <w:numId w:val="2"/>
      </w:numPr>
      <w:snapToGrid w:val="0"/>
      <w:spacing w:before="0"/>
    </w:pPr>
  </w:style>
  <w:style w:type="paragraph" w:styleId="ListBullet3">
    <w:name w:val="List Bullet 3"/>
    <w:aliases w:val="Bullet list 3,BulletList3"/>
    <w:basedOn w:val="Normal"/>
    <w:uiPriority w:val="99"/>
    <w:unhideWhenUsed/>
    <w:rsid w:val="009B44B1"/>
    <w:pPr>
      <w:numPr>
        <w:ilvl w:val="2"/>
        <w:numId w:val="2"/>
      </w:numPr>
      <w:snapToGrid w:val="0"/>
      <w:spacing w:before="0"/>
      <w:ind w:left="851"/>
    </w:pPr>
  </w:style>
  <w:style w:type="paragraph" w:styleId="Quote">
    <w:name w:val="Quote"/>
    <w:aliases w:val="LargeQuote"/>
    <w:basedOn w:val="Normal"/>
    <w:next w:val="Normal"/>
    <w:link w:val="QuoteChar"/>
    <w:uiPriority w:val="29"/>
    <w:rsid w:val="00DD7324"/>
    <w:pPr>
      <w:pBdr>
        <w:top w:val="single" w:sz="4" w:space="10" w:color="2E1A47" w:themeColor="text2"/>
        <w:bottom w:val="single" w:sz="4" w:space="10" w:color="2E1A47" w:themeColor="text2"/>
      </w:pBdr>
      <w:spacing w:before="360" w:after="360"/>
      <w:ind w:right="3402"/>
    </w:pPr>
    <w:rPr>
      <w:i/>
      <w:iCs/>
      <w:color w:val="2E1A47" w:themeColor="text2"/>
      <w:sz w:val="24"/>
      <w:szCs w:val="24"/>
    </w:rPr>
  </w:style>
  <w:style w:type="character" w:customStyle="1" w:styleId="QuoteChar">
    <w:name w:val="Quote Char"/>
    <w:aliases w:val="LargeQuote Char"/>
    <w:basedOn w:val="DefaultParagraphFont"/>
    <w:link w:val="Quote"/>
    <w:uiPriority w:val="29"/>
    <w:rsid w:val="00DD7324"/>
    <w:rPr>
      <w:i/>
      <w:iCs/>
      <w:color w:val="2E1A47" w:themeColor="text2"/>
      <w:sz w:val="24"/>
      <w:szCs w:val="24"/>
    </w:rPr>
  </w:style>
  <w:style w:type="paragraph" w:styleId="FootnoteText">
    <w:name w:val="footnote text"/>
    <w:basedOn w:val="Normal"/>
    <w:link w:val="FootnoteTextChar"/>
    <w:uiPriority w:val="99"/>
    <w:unhideWhenUsed/>
    <w:rsid w:val="008A38A1"/>
    <w:pPr>
      <w:tabs>
        <w:tab w:val="left" w:pos="142"/>
      </w:tabs>
      <w:spacing w:after="0" w:line="180" w:lineRule="exact"/>
      <w:ind w:left="142" w:hanging="142"/>
    </w:pPr>
    <w:rPr>
      <w:sz w:val="16"/>
    </w:rPr>
  </w:style>
  <w:style w:type="character" w:customStyle="1" w:styleId="FootnoteTextChar">
    <w:name w:val="Footnote Text Char"/>
    <w:basedOn w:val="DefaultParagraphFont"/>
    <w:link w:val="FootnoteText"/>
    <w:uiPriority w:val="99"/>
    <w:rsid w:val="008A38A1"/>
    <w:rPr>
      <w:sz w:val="16"/>
    </w:rPr>
  </w:style>
  <w:style w:type="character" w:styleId="Strong">
    <w:name w:val="Strong"/>
    <w:basedOn w:val="DefaultParagraphFont"/>
    <w:uiPriority w:val="22"/>
    <w:rsid w:val="00D52B20"/>
    <w:rPr>
      <w:b/>
      <w:bCs/>
    </w:rPr>
  </w:style>
  <w:style w:type="character" w:styleId="FootnoteReference">
    <w:name w:val="footnote reference"/>
    <w:basedOn w:val="DefaultParagraphFont"/>
    <w:uiPriority w:val="99"/>
    <w:semiHidden/>
    <w:unhideWhenUsed/>
    <w:rsid w:val="00D52B20"/>
    <w:rPr>
      <w:vertAlign w:val="superscript"/>
    </w:rPr>
  </w:style>
  <w:style w:type="paragraph" w:styleId="Header">
    <w:name w:val="header"/>
    <w:basedOn w:val="Normal"/>
    <w:link w:val="HeaderChar"/>
    <w:uiPriority w:val="99"/>
    <w:unhideWhenUsed/>
    <w:rsid w:val="006B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279"/>
  </w:style>
  <w:style w:type="paragraph" w:styleId="Footer">
    <w:name w:val="footer"/>
    <w:basedOn w:val="Normal"/>
    <w:link w:val="FooterChar"/>
    <w:uiPriority w:val="99"/>
    <w:unhideWhenUsed/>
    <w:rsid w:val="006B3279"/>
    <w:pPr>
      <w:pBdr>
        <w:top w:val="single" w:sz="6" w:space="6" w:color="000000" w:themeColor="text1"/>
      </w:pBd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6B3279"/>
    <w:rPr>
      <w:sz w:val="16"/>
      <w:szCs w:val="16"/>
    </w:rPr>
  </w:style>
  <w:style w:type="paragraph" w:styleId="Title">
    <w:name w:val="Title"/>
    <w:aliases w:val="Page Header,Heading level 2"/>
    <w:basedOn w:val="Normal"/>
    <w:next w:val="Normal"/>
    <w:link w:val="TitleChar"/>
    <w:uiPriority w:val="10"/>
    <w:rsid w:val="00BF516D"/>
    <w:pPr>
      <w:spacing w:after="480"/>
    </w:pPr>
    <w:rPr>
      <w:color w:val="FFFFFF" w:themeColor="background1"/>
      <w:sz w:val="48"/>
      <w:szCs w:val="48"/>
    </w:rPr>
  </w:style>
  <w:style w:type="character" w:customStyle="1" w:styleId="TitleChar">
    <w:name w:val="Title Char"/>
    <w:aliases w:val="Page Header Char,Heading level 2 Char"/>
    <w:basedOn w:val="DefaultParagraphFont"/>
    <w:link w:val="Title"/>
    <w:uiPriority w:val="10"/>
    <w:rsid w:val="00BF516D"/>
    <w:rPr>
      <w:color w:val="FFFFFF" w:themeColor="background1"/>
      <w:sz w:val="48"/>
      <w:szCs w:val="48"/>
    </w:rPr>
  </w:style>
  <w:style w:type="paragraph" w:styleId="Subtitle">
    <w:name w:val="Subtitle"/>
    <w:basedOn w:val="Normal"/>
    <w:next w:val="Normal"/>
    <w:link w:val="SubtitleChar"/>
    <w:uiPriority w:val="11"/>
    <w:rsid w:val="004751B4"/>
    <w:pPr>
      <w:spacing w:after="60"/>
      <w:ind w:right="1700"/>
    </w:pPr>
    <w:rPr>
      <w:color w:val="2E1A47" w:themeColor="text2"/>
      <w:sz w:val="26"/>
      <w:szCs w:val="26"/>
    </w:rPr>
  </w:style>
  <w:style w:type="character" w:customStyle="1" w:styleId="SubtitleChar">
    <w:name w:val="Subtitle Char"/>
    <w:basedOn w:val="DefaultParagraphFont"/>
    <w:link w:val="Subtitle"/>
    <w:uiPriority w:val="11"/>
    <w:rsid w:val="004751B4"/>
    <w:rPr>
      <w:color w:val="2E1A47" w:themeColor="text2"/>
      <w:sz w:val="26"/>
      <w:szCs w:val="26"/>
    </w:rPr>
  </w:style>
  <w:style w:type="paragraph" w:customStyle="1" w:styleId="Spacer-cover">
    <w:name w:val="Spacer - cover"/>
    <w:basedOn w:val="Normal"/>
    <w:rsid w:val="00223B43"/>
    <w:pPr>
      <w:spacing w:after="1060"/>
    </w:pPr>
  </w:style>
  <w:style w:type="paragraph" w:styleId="ListNumber">
    <w:name w:val="List Number"/>
    <w:basedOn w:val="Normal"/>
    <w:uiPriority w:val="99"/>
    <w:unhideWhenUsed/>
    <w:rsid w:val="009B44B1"/>
    <w:pPr>
      <w:numPr>
        <w:numId w:val="3"/>
      </w:numPr>
      <w:snapToGrid w:val="0"/>
      <w:spacing w:before="0"/>
    </w:pPr>
  </w:style>
  <w:style w:type="paragraph" w:styleId="ListNumber2">
    <w:name w:val="List Number 2"/>
    <w:aliases w:val="NumberedList 3"/>
    <w:basedOn w:val="Normal"/>
    <w:uiPriority w:val="99"/>
    <w:unhideWhenUsed/>
    <w:rsid w:val="009B44B1"/>
    <w:pPr>
      <w:numPr>
        <w:ilvl w:val="1"/>
        <w:numId w:val="3"/>
      </w:numPr>
      <w:spacing w:before="0"/>
    </w:pPr>
  </w:style>
  <w:style w:type="paragraph" w:styleId="ListNumber3">
    <w:name w:val="List Number 3"/>
    <w:basedOn w:val="Normal"/>
    <w:uiPriority w:val="99"/>
    <w:unhideWhenUsed/>
    <w:rsid w:val="001429D0"/>
    <w:pPr>
      <w:numPr>
        <w:ilvl w:val="2"/>
        <w:numId w:val="3"/>
      </w:numPr>
      <w:snapToGrid w:val="0"/>
      <w:spacing w:before="0"/>
      <w:ind w:left="851"/>
    </w:pPr>
    <w:rPr>
      <w:color w:val="000000" w:themeColor="text1"/>
    </w:rPr>
  </w:style>
  <w:style w:type="character" w:styleId="PlaceholderText">
    <w:name w:val="Placeholder Text"/>
    <w:basedOn w:val="DefaultParagraphFont"/>
    <w:uiPriority w:val="99"/>
    <w:semiHidden/>
    <w:rsid w:val="00EF2E35"/>
    <w:rPr>
      <w:color w:val="808080"/>
    </w:rPr>
  </w:style>
  <w:style w:type="character" w:customStyle="1" w:styleId="Heading5Char">
    <w:name w:val="Heading 5 Char"/>
    <w:basedOn w:val="DefaultParagraphFont"/>
    <w:link w:val="Heading5"/>
    <w:uiPriority w:val="9"/>
    <w:rsid w:val="009B44B1"/>
    <w:rPr>
      <w:rFonts w:asciiTheme="majorHAnsi" w:eastAsiaTheme="majorEastAsia" w:hAnsiTheme="majorHAnsi" w:cstheme="majorBidi"/>
      <w:color w:val="5B3161" w:themeColor="accent1" w:themeShade="BF"/>
    </w:rPr>
  </w:style>
  <w:style w:type="table" w:styleId="ListTable3-Accent3">
    <w:name w:val="List Table 3 Accent 3"/>
    <w:basedOn w:val="TableNormal"/>
    <w:uiPriority w:val="48"/>
    <w:rsid w:val="002070B0"/>
    <w:pPr>
      <w:spacing w:after="0" w:line="240" w:lineRule="auto"/>
    </w:pPr>
    <w:rPr>
      <w:rFonts w:eastAsiaTheme="minorHAnsi"/>
      <w:sz w:val="18"/>
      <w:szCs w:val="22"/>
      <w:lang w:eastAsia="en-US"/>
    </w:rPr>
    <w:tblPr>
      <w:tblStyleRowBandSize w:val="1"/>
      <w:tblStyleColBandSize w:val="1"/>
      <w:tblBorders>
        <w:top w:val="single" w:sz="4" w:space="0" w:color="C7A5FF" w:themeColor="accent3"/>
        <w:left w:val="single" w:sz="4" w:space="0" w:color="C7A5FF" w:themeColor="accent3"/>
        <w:bottom w:val="single" w:sz="4" w:space="0" w:color="C7A5FF" w:themeColor="accent3"/>
        <w:right w:val="single" w:sz="4" w:space="0" w:color="C7A5FF" w:themeColor="accent3"/>
      </w:tblBorders>
    </w:tblPr>
    <w:tblStylePr w:type="firstRow">
      <w:rPr>
        <w:b/>
        <w:bCs/>
        <w:color w:val="FFFFFF" w:themeColor="background1"/>
      </w:rPr>
      <w:tblPr/>
      <w:tcPr>
        <w:shd w:val="clear" w:color="auto" w:fill="C7A5FF" w:themeFill="accent3"/>
      </w:tcPr>
    </w:tblStylePr>
    <w:tblStylePr w:type="lastRow">
      <w:rPr>
        <w:b/>
        <w:bCs/>
      </w:rPr>
      <w:tblPr/>
      <w:tcPr>
        <w:tcBorders>
          <w:top w:val="double" w:sz="4" w:space="0" w:color="C7A5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A5FF" w:themeColor="accent3"/>
          <w:right w:val="single" w:sz="4" w:space="0" w:color="C7A5FF" w:themeColor="accent3"/>
        </w:tcBorders>
      </w:tcPr>
    </w:tblStylePr>
    <w:tblStylePr w:type="band1Horz">
      <w:tblPr/>
      <w:tcPr>
        <w:tcBorders>
          <w:top w:val="single" w:sz="4" w:space="0" w:color="C7A5FF" w:themeColor="accent3"/>
          <w:bottom w:val="single" w:sz="4" w:space="0" w:color="C7A5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A5FF" w:themeColor="accent3"/>
          <w:left w:val="nil"/>
        </w:tcBorders>
      </w:tcPr>
    </w:tblStylePr>
    <w:tblStylePr w:type="swCell">
      <w:tblPr/>
      <w:tcPr>
        <w:tcBorders>
          <w:top w:val="double" w:sz="4" w:space="0" w:color="C7A5FF" w:themeColor="accent3"/>
          <w:right w:val="nil"/>
        </w:tcBorders>
      </w:tcPr>
    </w:tblStylePr>
  </w:style>
  <w:style w:type="paragraph" w:customStyle="1" w:styleId="Tableheadermain">
    <w:name w:val="Table header (main)"/>
    <w:basedOn w:val="Normal"/>
    <w:link w:val="TableheadermainChar"/>
    <w:rsid w:val="00AF1BF8"/>
    <w:pPr>
      <w:spacing w:before="120"/>
    </w:pPr>
    <w:rPr>
      <w:rFonts w:eastAsiaTheme="minorHAnsi"/>
      <w:b/>
      <w:bCs/>
      <w:color w:val="FFFFFF" w:themeColor="background1"/>
      <w:szCs w:val="18"/>
      <w:lang w:val="pt-PT" w:eastAsia="en-US"/>
    </w:rPr>
  </w:style>
  <w:style w:type="character" w:customStyle="1" w:styleId="TableheadermainChar">
    <w:name w:val="Table header (main) Char"/>
    <w:basedOn w:val="DefaultParagraphFont"/>
    <w:link w:val="Tableheadermain"/>
    <w:rsid w:val="00AF1BF8"/>
    <w:rPr>
      <w:rFonts w:eastAsiaTheme="minorHAnsi"/>
      <w:b/>
      <w:bCs/>
      <w:color w:val="FFFFFF" w:themeColor="background1"/>
      <w:szCs w:val="18"/>
      <w:lang w:val="pt-PT" w:eastAsia="en-US"/>
    </w:rPr>
  </w:style>
  <w:style w:type="paragraph" w:customStyle="1" w:styleId="Table-copy">
    <w:name w:val="Table - copy"/>
    <w:basedOn w:val="Normal"/>
    <w:link w:val="Table-copyChar"/>
    <w:qFormat/>
    <w:rsid w:val="00AF1BF8"/>
    <w:rPr>
      <w:rFonts w:ascii="Verdana" w:eastAsiaTheme="minorHAnsi" w:hAnsi="Verdana"/>
      <w:color w:val="000000" w:themeColor="text1"/>
      <w:sz w:val="18"/>
      <w:lang w:eastAsia="en-US"/>
    </w:rPr>
  </w:style>
  <w:style w:type="character" w:customStyle="1" w:styleId="Table-copyChar">
    <w:name w:val="Table - copy Char"/>
    <w:basedOn w:val="DefaultParagraphFont"/>
    <w:link w:val="Table-copy"/>
    <w:rsid w:val="00AF1BF8"/>
    <w:rPr>
      <w:rFonts w:ascii="Verdana" w:eastAsiaTheme="minorHAnsi" w:hAnsi="Verdana"/>
      <w:color w:val="000000" w:themeColor="text1"/>
      <w:sz w:val="18"/>
      <w:lang w:eastAsia="en-US"/>
    </w:rPr>
  </w:style>
  <w:style w:type="table" w:styleId="ListTable3-Accent1">
    <w:name w:val="List Table 3 Accent 1"/>
    <w:basedOn w:val="TableNormal"/>
    <w:uiPriority w:val="48"/>
    <w:rsid w:val="002070B0"/>
    <w:pPr>
      <w:spacing w:after="0" w:line="240" w:lineRule="auto"/>
    </w:pPr>
    <w:rPr>
      <w:sz w:val="18"/>
    </w:rPr>
    <w:tblPr>
      <w:tblStyleRowBandSize w:val="1"/>
      <w:tblStyleColBandSize w:val="1"/>
      <w:tblBorders>
        <w:top w:val="single" w:sz="4" w:space="0" w:color="7A4282" w:themeColor="accent1"/>
        <w:left w:val="single" w:sz="4" w:space="0" w:color="7A4282" w:themeColor="accent1"/>
        <w:bottom w:val="single" w:sz="4" w:space="0" w:color="7A4282" w:themeColor="accent1"/>
        <w:right w:val="single" w:sz="4" w:space="0" w:color="7A4282" w:themeColor="accent1"/>
      </w:tblBorders>
    </w:tblPr>
    <w:tblStylePr w:type="firstRow">
      <w:rPr>
        <w:b/>
        <w:bCs/>
        <w:color w:val="FFFFFF" w:themeColor="background1"/>
      </w:rPr>
      <w:tblPr/>
      <w:tcPr>
        <w:shd w:val="clear" w:color="auto" w:fill="7A4282" w:themeFill="accent1"/>
      </w:tcPr>
    </w:tblStylePr>
    <w:tblStylePr w:type="lastRow">
      <w:rPr>
        <w:b/>
        <w:bCs/>
      </w:rPr>
      <w:tblPr/>
      <w:tcPr>
        <w:tcBorders>
          <w:top w:val="double" w:sz="4" w:space="0" w:color="7A4282" w:themeColor="accent1"/>
        </w:tcBorders>
        <w:shd w:val="clear" w:color="auto" w:fill="FFFFFF" w:themeFill="background1"/>
      </w:tcPr>
    </w:tblStylePr>
    <w:tblStylePr w:type="firstCol">
      <w:rPr>
        <w:rFonts w:ascii="Verdana" w:hAnsi="Verdana"/>
        <w:b/>
        <w:bCs/>
        <w:sz w:val="18"/>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4282" w:themeColor="accent1"/>
          <w:right w:val="single" w:sz="4" w:space="0" w:color="7A4282" w:themeColor="accent1"/>
        </w:tcBorders>
      </w:tcPr>
    </w:tblStylePr>
    <w:tblStylePr w:type="band1Horz">
      <w:tblPr/>
      <w:tcPr>
        <w:tcBorders>
          <w:top w:val="single" w:sz="4" w:space="0" w:color="7A4282" w:themeColor="accent1"/>
          <w:bottom w:val="single" w:sz="4" w:space="0" w:color="7A42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4282" w:themeColor="accent1"/>
          <w:left w:val="nil"/>
        </w:tcBorders>
      </w:tcPr>
    </w:tblStylePr>
    <w:tblStylePr w:type="swCell">
      <w:tblPr/>
      <w:tcPr>
        <w:tcBorders>
          <w:top w:val="double" w:sz="4" w:space="0" w:color="7A4282" w:themeColor="accent1"/>
          <w:right w:val="nil"/>
        </w:tcBorders>
      </w:tcPr>
    </w:tblStylePr>
  </w:style>
  <w:style w:type="paragraph" w:customStyle="1" w:styleId="NumberedList1">
    <w:name w:val="NumberedList 1"/>
    <w:basedOn w:val="ListParagraph"/>
    <w:link w:val="NumberedList1Char"/>
    <w:rsid w:val="00663209"/>
    <w:pPr>
      <w:numPr>
        <w:numId w:val="4"/>
      </w:numPr>
      <w:tabs>
        <w:tab w:val="num" w:pos="360"/>
      </w:tabs>
      <w:spacing w:before="0" w:line="300" w:lineRule="exact"/>
      <w:ind w:left="284" w:hanging="284"/>
      <w:contextualSpacing w:val="0"/>
    </w:pPr>
    <w:rPr>
      <w:rFonts w:eastAsiaTheme="minorHAnsi"/>
      <w:color w:val="000000" w:themeColor="text1"/>
      <w:lang w:val="pt-PT" w:eastAsia="en-US"/>
    </w:rPr>
  </w:style>
  <w:style w:type="paragraph" w:styleId="ListParagraph">
    <w:name w:val="List Paragraph"/>
    <w:basedOn w:val="Normal"/>
    <w:link w:val="ListParagraphChar"/>
    <w:uiPriority w:val="34"/>
    <w:qFormat/>
    <w:rsid w:val="00663209"/>
    <w:pPr>
      <w:ind w:left="720"/>
      <w:contextualSpacing/>
    </w:pPr>
  </w:style>
  <w:style w:type="paragraph" w:customStyle="1" w:styleId="QuoteSource">
    <w:name w:val="QuoteSource"/>
    <w:basedOn w:val="Normal"/>
    <w:qFormat/>
    <w:rsid w:val="00EB23FD"/>
    <w:pPr>
      <w:spacing w:before="40" w:after="40" w:line="240" w:lineRule="auto"/>
    </w:pPr>
    <w:rPr>
      <w:rFonts w:eastAsiaTheme="minorHAnsi"/>
      <w:color w:val="000000" w:themeColor="text1"/>
      <w:sz w:val="18"/>
      <w:szCs w:val="16"/>
      <w:lang w:val="pt-PT" w:eastAsia="en-US"/>
    </w:rPr>
  </w:style>
  <w:style w:type="paragraph" w:customStyle="1" w:styleId="Largequote">
    <w:name w:val="Large quote"/>
    <w:basedOn w:val="Normal"/>
    <w:link w:val="LargequoteChar"/>
    <w:qFormat/>
    <w:rsid w:val="005C2687"/>
    <w:rPr>
      <w:color w:val="893C94"/>
      <w:sz w:val="28"/>
      <w:szCs w:val="28"/>
    </w:rPr>
  </w:style>
  <w:style w:type="paragraph" w:customStyle="1" w:styleId="SmallQuote">
    <w:name w:val="SmallQuote"/>
    <w:basedOn w:val="Largequote"/>
    <w:link w:val="SmallQuoteChar"/>
    <w:qFormat/>
    <w:rsid w:val="00F70C86"/>
    <w:pPr>
      <w:spacing w:before="40" w:after="240"/>
    </w:pPr>
    <w:rPr>
      <w:sz w:val="24"/>
      <w:szCs w:val="24"/>
    </w:rPr>
  </w:style>
  <w:style w:type="character" w:customStyle="1" w:styleId="LargequoteChar">
    <w:name w:val="Large quote Char"/>
    <w:basedOn w:val="DefaultParagraphFont"/>
    <w:link w:val="Largequote"/>
    <w:rsid w:val="005C2687"/>
    <w:rPr>
      <w:color w:val="893C94"/>
      <w:sz w:val="28"/>
      <w:szCs w:val="28"/>
    </w:rPr>
  </w:style>
  <w:style w:type="character" w:customStyle="1" w:styleId="SmallQuoteChar">
    <w:name w:val="SmallQuote Char"/>
    <w:basedOn w:val="LargequoteChar"/>
    <w:link w:val="SmallQuote"/>
    <w:rsid w:val="00F70C86"/>
    <w:rPr>
      <w:color w:val="7A4282" w:themeColor="accent1"/>
      <w:sz w:val="24"/>
      <w:szCs w:val="24"/>
    </w:rPr>
  </w:style>
  <w:style w:type="table" w:styleId="ListTable3-Accent2">
    <w:name w:val="List Table 3 Accent 2"/>
    <w:basedOn w:val="TableNormal"/>
    <w:uiPriority w:val="48"/>
    <w:rsid w:val="002070B0"/>
    <w:pPr>
      <w:spacing w:after="0" w:line="240" w:lineRule="auto"/>
    </w:pPr>
    <w:rPr>
      <w:sz w:val="18"/>
    </w:rPr>
    <w:tblPr>
      <w:tblStyleRowBandSize w:val="1"/>
      <w:tblStyleColBandSize w:val="1"/>
      <w:tblBorders>
        <w:top w:val="single" w:sz="4" w:space="0" w:color="2E1A47" w:themeColor="accent2"/>
        <w:left w:val="single" w:sz="4" w:space="0" w:color="2E1A47" w:themeColor="accent2"/>
        <w:bottom w:val="single" w:sz="4" w:space="0" w:color="2E1A47" w:themeColor="accent2"/>
        <w:right w:val="single" w:sz="4" w:space="0" w:color="2E1A47" w:themeColor="accent2"/>
      </w:tblBorders>
    </w:tblPr>
    <w:tblStylePr w:type="firstRow">
      <w:rPr>
        <w:b/>
        <w:bCs/>
        <w:color w:val="FFFFFF" w:themeColor="background1"/>
      </w:rPr>
      <w:tblPr/>
      <w:tcPr>
        <w:shd w:val="clear" w:color="auto" w:fill="2E1A47" w:themeFill="accent2"/>
      </w:tcPr>
    </w:tblStylePr>
    <w:tblStylePr w:type="lastRow">
      <w:rPr>
        <w:b/>
        <w:bCs/>
      </w:rPr>
      <w:tblPr/>
      <w:tcPr>
        <w:tcBorders>
          <w:top w:val="double" w:sz="4" w:space="0" w:color="2E1A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1A47" w:themeColor="accent2"/>
          <w:right w:val="single" w:sz="4" w:space="0" w:color="2E1A47" w:themeColor="accent2"/>
        </w:tcBorders>
      </w:tcPr>
    </w:tblStylePr>
    <w:tblStylePr w:type="band1Horz">
      <w:tblPr/>
      <w:tcPr>
        <w:tcBorders>
          <w:top w:val="single" w:sz="4" w:space="0" w:color="2E1A47" w:themeColor="accent2"/>
          <w:bottom w:val="single" w:sz="4" w:space="0" w:color="2E1A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1A47" w:themeColor="accent2"/>
          <w:left w:val="nil"/>
        </w:tcBorders>
      </w:tcPr>
    </w:tblStylePr>
    <w:tblStylePr w:type="swCell">
      <w:tblPr/>
      <w:tcPr>
        <w:tcBorders>
          <w:top w:val="double" w:sz="4" w:space="0" w:color="2E1A47" w:themeColor="accent2"/>
          <w:right w:val="nil"/>
        </w:tcBorders>
      </w:tcPr>
    </w:tblStylePr>
  </w:style>
  <w:style w:type="character" w:styleId="CommentReference">
    <w:name w:val="annotation reference"/>
    <w:basedOn w:val="DefaultParagraphFont"/>
    <w:uiPriority w:val="99"/>
    <w:semiHidden/>
    <w:unhideWhenUsed/>
    <w:rsid w:val="003D6610"/>
    <w:rPr>
      <w:sz w:val="16"/>
      <w:szCs w:val="16"/>
    </w:rPr>
  </w:style>
  <w:style w:type="paragraph" w:styleId="CommentText">
    <w:name w:val="annotation text"/>
    <w:basedOn w:val="Normal"/>
    <w:link w:val="CommentTextChar"/>
    <w:uiPriority w:val="99"/>
    <w:unhideWhenUsed/>
    <w:rsid w:val="003D6610"/>
    <w:pPr>
      <w:spacing w:line="240" w:lineRule="auto"/>
    </w:pPr>
  </w:style>
  <w:style w:type="character" w:customStyle="1" w:styleId="CommentTextChar">
    <w:name w:val="Comment Text Char"/>
    <w:basedOn w:val="DefaultParagraphFont"/>
    <w:link w:val="CommentText"/>
    <w:uiPriority w:val="99"/>
    <w:rsid w:val="003D6610"/>
  </w:style>
  <w:style w:type="paragraph" w:styleId="CommentSubject">
    <w:name w:val="annotation subject"/>
    <w:basedOn w:val="CommentText"/>
    <w:next w:val="CommentText"/>
    <w:link w:val="CommentSubjectChar"/>
    <w:uiPriority w:val="99"/>
    <w:semiHidden/>
    <w:unhideWhenUsed/>
    <w:rsid w:val="003D6610"/>
    <w:rPr>
      <w:b/>
      <w:bCs/>
    </w:rPr>
  </w:style>
  <w:style w:type="character" w:customStyle="1" w:styleId="CommentSubjectChar">
    <w:name w:val="Comment Subject Char"/>
    <w:basedOn w:val="CommentTextChar"/>
    <w:link w:val="CommentSubject"/>
    <w:uiPriority w:val="99"/>
    <w:semiHidden/>
    <w:rsid w:val="003D6610"/>
    <w:rPr>
      <w:b/>
      <w:bCs/>
    </w:rPr>
  </w:style>
  <w:style w:type="paragraph" w:customStyle="1" w:styleId="PageHeader">
    <w:name w:val="PageHeader"/>
    <w:basedOn w:val="Heading1"/>
    <w:link w:val="PageHeaderChar"/>
    <w:rsid w:val="005E0392"/>
    <w:rPr>
      <w:bCs w:val="0"/>
      <w:szCs w:val="48"/>
    </w:rPr>
  </w:style>
  <w:style w:type="character" w:customStyle="1" w:styleId="PageHeaderChar">
    <w:name w:val="PageHeader Char"/>
    <w:basedOn w:val="Heading1Char"/>
    <w:link w:val="PageHeader"/>
    <w:rsid w:val="005E0392"/>
    <w:rPr>
      <w:bCs w:val="0"/>
      <w:color w:val="2E1A47" w:themeColor="text2"/>
      <w:sz w:val="48"/>
      <w:szCs w:val="48"/>
    </w:rPr>
  </w:style>
  <w:style w:type="paragraph" w:customStyle="1" w:styleId="Heading-masthead">
    <w:name w:val="Heading - masthead"/>
    <w:basedOn w:val="Title"/>
    <w:link w:val="Heading-mastheadChar"/>
    <w:qFormat/>
    <w:rsid w:val="00DA459B"/>
  </w:style>
  <w:style w:type="character" w:customStyle="1" w:styleId="Heading-mastheadChar">
    <w:name w:val="Heading - masthead Char"/>
    <w:basedOn w:val="TitleChar"/>
    <w:link w:val="Heading-masthead"/>
    <w:rsid w:val="00DA459B"/>
    <w:rPr>
      <w:color w:val="FFFFFF" w:themeColor="background1"/>
      <w:sz w:val="48"/>
      <w:szCs w:val="48"/>
    </w:rPr>
  </w:style>
  <w:style w:type="paragraph" w:customStyle="1" w:styleId="Heading-level1">
    <w:name w:val="Heading - level 1"/>
    <w:basedOn w:val="PageHeader"/>
    <w:link w:val="Heading-level1Char"/>
    <w:qFormat/>
    <w:rsid w:val="00295B15"/>
    <w:pPr>
      <w:pageBreakBefore w:val="0"/>
    </w:pPr>
    <w:rPr>
      <w:color w:val="300050"/>
    </w:rPr>
  </w:style>
  <w:style w:type="character" w:customStyle="1" w:styleId="Heading-level1Char">
    <w:name w:val="Heading - level 1 Char"/>
    <w:basedOn w:val="PageHeaderChar"/>
    <w:link w:val="Heading-level1"/>
    <w:rsid w:val="00295B15"/>
    <w:rPr>
      <w:bCs w:val="0"/>
      <w:color w:val="300050"/>
      <w:sz w:val="48"/>
      <w:szCs w:val="48"/>
    </w:rPr>
  </w:style>
  <w:style w:type="paragraph" w:customStyle="1" w:styleId="Heading-level2">
    <w:name w:val="Heading - level 2"/>
    <w:basedOn w:val="Heading2"/>
    <w:link w:val="Heading-level2Char"/>
    <w:qFormat/>
    <w:rsid w:val="00683E6F"/>
    <w:rPr>
      <w:color w:val="893C94"/>
    </w:rPr>
  </w:style>
  <w:style w:type="character" w:customStyle="1" w:styleId="Heading-level2Char">
    <w:name w:val="Heading - level 2 Char"/>
    <w:basedOn w:val="Heading2Char"/>
    <w:link w:val="Heading-level2"/>
    <w:rsid w:val="00683E6F"/>
    <w:rPr>
      <w:color w:val="893C94"/>
      <w:sz w:val="32"/>
      <w:szCs w:val="32"/>
    </w:rPr>
  </w:style>
  <w:style w:type="paragraph" w:customStyle="1" w:styleId="Heading-level3">
    <w:name w:val="Heading - level 3"/>
    <w:basedOn w:val="Heading3"/>
    <w:link w:val="Heading-level3Char"/>
    <w:qFormat/>
    <w:rsid w:val="00683E6F"/>
    <w:rPr>
      <w:color w:val="300050"/>
    </w:rPr>
  </w:style>
  <w:style w:type="character" w:customStyle="1" w:styleId="Heading-level3Char">
    <w:name w:val="Heading - level 3 Char"/>
    <w:basedOn w:val="Heading3Char"/>
    <w:link w:val="Heading-level3"/>
    <w:rsid w:val="00683E6F"/>
    <w:rPr>
      <w:b/>
      <w:bCs/>
      <w:color w:val="300050"/>
    </w:rPr>
  </w:style>
  <w:style w:type="paragraph" w:customStyle="1" w:styleId="Body-copy">
    <w:name w:val="Body - copy"/>
    <w:basedOn w:val="Normal"/>
    <w:link w:val="Body-copyChar"/>
    <w:qFormat/>
    <w:rsid w:val="00F130BD"/>
  </w:style>
  <w:style w:type="character" w:customStyle="1" w:styleId="Body-copyChar">
    <w:name w:val="Body - copy Char"/>
    <w:basedOn w:val="DefaultParagraphFont"/>
    <w:link w:val="Body-copy"/>
    <w:rsid w:val="00F130BD"/>
  </w:style>
  <w:style w:type="paragraph" w:customStyle="1" w:styleId="Bulletlist">
    <w:name w:val="Bullet list"/>
    <w:basedOn w:val="ListBullet"/>
    <w:link w:val="BulletlistChar"/>
    <w:qFormat/>
    <w:rsid w:val="004B4332"/>
    <w:pPr>
      <w:ind w:left="511"/>
      <w:contextualSpacing/>
    </w:pPr>
  </w:style>
  <w:style w:type="character" w:customStyle="1" w:styleId="ListBulletChar">
    <w:name w:val="List Bullet Char"/>
    <w:aliases w:val="BulletList Char,BulletList1 Char"/>
    <w:basedOn w:val="DefaultParagraphFont"/>
    <w:link w:val="ListBullet"/>
    <w:uiPriority w:val="99"/>
    <w:rsid w:val="00724913"/>
  </w:style>
  <w:style w:type="character" w:customStyle="1" w:styleId="BulletlistChar">
    <w:name w:val="Bullet list Char"/>
    <w:basedOn w:val="ListBulletChar"/>
    <w:link w:val="Bulletlist"/>
    <w:rsid w:val="004B4332"/>
  </w:style>
  <w:style w:type="paragraph" w:customStyle="1" w:styleId="Body-numberedlist">
    <w:name w:val="Body - numbered list"/>
    <w:basedOn w:val="NumberedList1"/>
    <w:link w:val="Body-numberedlistChar"/>
    <w:qFormat/>
    <w:rsid w:val="004B4332"/>
    <w:pPr>
      <w:tabs>
        <w:tab w:val="clear" w:pos="360"/>
      </w:tabs>
      <w:spacing w:line="300" w:lineRule="atLeast"/>
      <w:ind w:left="511"/>
      <w:contextualSpacing/>
    </w:pPr>
  </w:style>
  <w:style w:type="character" w:customStyle="1" w:styleId="ListParagraphChar">
    <w:name w:val="List Paragraph Char"/>
    <w:basedOn w:val="DefaultParagraphFont"/>
    <w:link w:val="ListParagraph"/>
    <w:uiPriority w:val="34"/>
    <w:rsid w:val="00724913"/>
  </w:style>
  <w:style w:type="character" w:customStyle="1" w:styleId="NumberedList1Char">
    <w:name w:val="NumberedList 1 Char"/>
    <w:basedOn w:val="ListParagraphChar"/>
    <w:link w:val="NumberedList1"/>
    <w:rsid w:val="00724913"/>
    <w:rPr>
      <w:rFonts w:eastAsiaTheme="minorHAnsi"/>
      <w:color w:val="000000" w:themeColor="text1"/>
      <w:lang w:val="pt-PT" w:eastAsia="en-US"/>
    </w:rPr>
  </w:style>
  <w:style w:type="character" w:customStyle="1" w:styleId="Body-numberedlistChar">
    <w:name w:val="Body - numbered list Char"/>
    <w:basedOn w:val="NumberedList1Char"/>
    <w:link w:val="Body-numberedlist"/>
    <w:rsid w:val="004B4332"/>
    <w:rPr>
      <w:rFonts w:eastAsiaTheme="minorHAnsi"/>
      <w:color w:val="000000" w:themeColor="text1"/>
      <w:lang w:val="pt-PT" w:eastAsia="en-US"/>
    </w:rPr>
  </w:style>
  <w:style w:type="paragraph" w:customStyle="1" w:styleId="Table-heading1">
    <w:name w:val="Table - heading 1"/>
    <w:basedOn w:val="Tableheadermain"/>
    <w:link w:val="Table-heading1Char"/>
    <w:qFormat/>
    <w:rsid w:val="005E7F49"/>
  </w:style>
  <w:style w:type="character" w:customStyle="1" w:styleId="Table-heading1Char">
    <w:name w:val="Table - heading 1 Char"/>
    <w:basedOn w:val="TableheadermainChar"/>
    <w:link w:val="Table-heading1"/>
    <w:rsid w:val="005E7F49"/>
    <w:rPr>
      <w:rFonts w:eastAsiaTheme="minorHAnsi"/>
      <w:b/>
      <w:bCs/>
      <w:color w:val="FFFFFF" w:themeColor="background1"/>
      <w:szCs w:val="18"/>
      <w:lang w:val="pt-PT" w:eastAsia="en-US"/>
    </w:rPr>
  </w:style>
  <w:style w:type="paragraph" w:customStyle="1" w:styleId="Table-heading2">
    <w:name w:val="Table - heading 2"/>
    <w:basedOn w:val="Table-copy"/>
    <w:link w:val="Table-heading2Char"/>
    <w:qFormat/>
    <w:rsid w:val="005E7F49"/>
    <w:rPr>
      <w:b/>
      <w:bCs/>
    </w:rPr>
  </w:style>
  <w:style w:type="character" w:customStyle="1" w:styleId="Table-heading2Char">
    <w:name w:val="Table - heading 2 Char"/>
    <w:basedOn w:val="Table-copyChar"/>
    <w:link w:val="Table-heading2"/>
    <w:rsid w:val="005E7F49"/>
    <w:rPr>
      <w:rFonts w:ascii="Verdana" w:eastAsiaTheme="minorHAnsi" w:hAnsi="Verdana"/>
      <w:b/>
      <w:bCs/>
      <w:color w:val="000000" w:themeColor="text1"/>
      <w:sz w:val="18"/>
      <w:lang w:eastAsia="en-US"/>
    </w:rPr>
  </w:style>
  <w:style w:type="paragraph" w:customStyle="1" w:styleId="Table-bullets">
    <w:name w:val="Table - bullets"/>
    <w:basedOn w:val="Table-copy"/>
    <w:link w:val="Table-bulletsChar"/>
    <w:qFormat/>
    <w:rsid w:val="005E7F49"/>
    <w:pPr>
      <w:numPr>
        <w:numId w:val="5"/>
      </w:numPr>
      <w:ind w:left="227" w:hanging="227"/>
    </w:pPr>
  </w:style>
  <w:style w:type="character" w:customStyle="1" w:styleId="Table-bulletsChar">
    <w:name w:val="Table - bullets Char"/>
    <w:basedOn w:val="Table-copyChar"/>
    <w:link w:val="Table-bullets"/>
    <w:rsid w:val="005E7F49"/>
    <w:rPr>
      <w:rFonts w:ascii="Verdana" w:eastAsiaTheme="minorHAnsi" w:hAnsi="Verdana"/>
      <w:color w:val="000000" w:themeColor="text1"/>
      <w:sz w:val="18"/>
      <w:lang w:eastAsia="en-US"/>
    </w:rPr>
  </w:style>
  <w:style w:type="character" w:styleId="Mention">
    <w:name w:val="Mention"/>
    <w:basedOn w:val="DefaultParagraphFont"/>
    <w:uiPriority w:val="99"/>
    <w:unhideWhenUsed/>
    <w:rsid w:val="00550E01"/>
    <w:rPr>
      <w:color w:val="2B579A"/>
      <w:shd w:val="clear" w:color="auto" w:fill="E1DFDD"/>
    </w:rPr>
  </w:style>
  <w:style w:type="table" w:styleId="TableGrid">
    <w:name w:val="Table Grid"/>
    <w:basedOn w:val="TableNormal"/>
    <w:uiPriority w:val="59"/>
    <w:rsid w:val="00550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45914"/>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5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42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42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42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4282" w:themeFill="accent1"/>
      </w:tcPr>
    </w:tblStylePr>
    <w:tblStylePr w:type="band1Vert">
      <w:tblPr/>
      <w:tcPr>
        <w:shd w:val="clear" w:color="auto" w:fill="CFABD4" w:themeFill="accent1" w:themeFillTint="66"/>
      </w:tcPr>
    </w:tblStylePr>
    <w:tblStylePr w:type="band1Horz">
      <w:tblPr/>
      <w:tcPr>
        <w:shd w:val="clear" w:color="auto" w:fill="CFABD4" w:themeFill="accent1" w:themeFillTint="66"/>
      </w:tcPr>
    </w:tblStylePr>
  </w:style>
  <w:style w:type="table" w:customStyle="1" w:styleId="GridTable7Dark-Accent1">
    <w:name w:val="Grid Table 7 Dark - Accent 1"/>
    <w:basedOn w:val="TableNormal"/>
    <w:uiPriority w:val="99"/>
    <w:rsid w:val="00C66AA2"/>
    <w:pPr>
      <w:spacing w:after="0" w:line="240" w:lineRule="auto"/>
    </w:pPr>
    <w:tblPr/>
  </w:style>
  <w:style w:type="table" w:styleId="ListTable3">
    <w:name w:val="List Table 3"/>
    <w:basedOn w:val="TableNormal"/>
    <w:uiPriority w:val="48"/>
    <w:rsid w:val="002070B0"/>
    <w:pPr>
      <w:spacing w:after="0" w:line="240" w:lineRule="auto"/>
    </w:pPr>
    <w:rPr>
      <w:sz w:val="1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4">
    <w:name w:val="List Table 3 Accent 4"/>
    <w:basedOn w:val="TableNormal"/>
    <w:uiPriority w:val="48"/>
    <w:rsid w:val="002070B0"/>
    <w:pPr>
      <w:spacing w:after="0" w:line="240" w:lineRule="auto"/>
    </w:pPr>
    <w:rPr>
      <w:sz w:val="18"/>
    </w:rPr>
    <w:tblPr>
      <w:tblStyleRowBandSize w:val="1"/>
      <w:tblStyleColBandSize w:val="1"/>
      <w:tblBorders>
        <w:top w:val="single" w:sz="4" w:space="0" w:color="C78570" w:themeColor="accent4"/>
        <w:left w:val="single" w:sz="4" w:space="0" w:color="C78570" w:themeColor="accent4"/>
        <w:bottom w:val="single" w:sz="4" w:space="0" w:color="C78570" w:themeColor="accent4"/>
        <w:right w:val="single" w:sz="4" w:space="0" w:color="C78570" w:themeColor="accent4"/>
      </w:tblBorders>
    </w:tblPr>
    <w:tblStylePr w:type="firstRow">
      <w:rPr>
        <w:b/>
        <w:bCs/>
        <w:color w:val="FFFFFF" w:themeColor="background1"/>
      </w:rPr>
      <w:tblPr/>
      <w:tcPr>
        <w:shd w:val="clear" w:color="auto" w:fill="C78570" w:themeFill="accent4"/>
      </w:tcPr>
    </w:tblStylePr>
    <w:tblStylePr w:type="lastRow">
      <w:rPr>
        <w:b/>
        <w:bCs/>
      </w:rPr>
      <w:tblPr/>
      <w:tcPr>
        <w:tcBorders>
          <w:top w:val="double" w:sz="4" w:space="0" w:color="C7857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8570" w:themeColor="accent4"/>
          <w:right w:val="single" w:sz="4" w:space="0" w:color="C78570" w:themeColor="accent4"/>
        </w:tcBorders>
      </w:tcPr>
    </w:tblStylePr>
    <w:tblStylePr w:type="band1Horz">
      <w:tblPr/>
      <w:tcPr>
        <w:tcBorders>
          <w:top w:val="single" w:sz="4" w:space="0" w:color="C78570" w:themeColor="accent4"/>
          <w:bottom w:val="single" w:sz="4" w:space="0" w:color="C7857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8570" w:themeColor="accent4"/>
          <w:left w:val="nil"/>
        </w:tcBorders>
      </w:tcPr>
    </w:tblStylePr>
    <w:tblStylePr w:type="swCell">
      <w:tblPr/>
      <w:tcPr>
        <w:tcBorders>
          <w:top w:val="double" w:sz="4" w:space="0" w:color="C78570" w:themeColor="accent4"/>
          <w:right w:val="nil"/>
        </w:tcBorders>
      </w:tcPr>
    </w:tblStylePr>
  </w:style>
  <w:style w:type="table" w:styleId="ListTable3-Accent5">
    <w:name w:val="List Table 3 Accent 5"/>
    <w:basedOn w:val="TableNormal"/>
    <w:uiPriority w:val="48"/>
    <w:rsid w:val="00B66C99"/>
    <w:pPr>
      <w:spacing w:after="0" w:line="240" w:lineRule="auto"/>
    </w:pPr>
    <w:rPr>
      <w:sz w:val="18"/>
    </w:rPr>
    <w:tblPr>
      <w:tblStyleRowBandSize w:val="1"/>
      <w:tblStyleColBandSize w:val="1"/>
      <w:tblBorders>
        <w:top w:val="single" w:sz="4" w:space="0" w:color="877B77" w:themeColor="accent5"/>
        <w:left w:val="single" w:sz="4" w:space="0" w:color="877B77" w:themeColor="accent5"/>
        <w:bottom w:val="single" w:sz="4" w:space="0" w:color="877B77" w:themeColor="accent5"/>
        <w:right w:val="single" w:sz="4" w:space="0" w:color="877B77" w:themeColor="accent5"/>
      </w:tblBorders>
    </w:tblPr>
    <w:tblStylePr w:type="firstRow">
      <w:rPr>
        <w:b/>
        <w:bCs/>
        <w:color w:val="FFFFFF" w:themeColor="background1"/>
      </w:rPr>
      <w:tblPr/>
      <w:tcPr>
        <w:shd w:val="clear" w:color="auto" w:fill="877B77" w:themeFill="accent5"/>
      </w:tcPr>
    </w:tblStylePr>
    <w:tblStylePr w:type="lastRow">
      <w:rPr>
        <w:b/>
        <w:bCs/>
      </w:rPr>
      <w:tblPr/>
      <w:tcPr>
        <w:tcBorders>
          <w:top w:val="double" w:sz="4" w:space="0" w:color="877B7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7B77" w:themeColor="accent5"/>
          <w:right w:val="single" w:sz="4" w:space="0" w:color="877B77" w:themeColor="accent5"/>
        </w:tcBorders>
      </w:tcPr>
    </w:tblStylePr>
    <w:tblStylePr w:type="band1Horz">
      <w:tblPr/>
      <w:tcPr>
        <w:tcBorders>
          <w:top w:val="single" w:sz="4" w:space="0" w:color="877B77" w:themeColor="accent5"/>
          <w:bottom w:val="single" w:sz="4" w:space="0" w:color="877B7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7B77" w:themeColor="accent5"/>
          <w:left w:val="nil"/>
        </w:tcBorders>
      </w:tcPr>
    </w:tblStylePr>
    <w:tblStylePr w:type="swCell">
      <w:tblPr/>
      <w:tcPr>
        <w:tcBorders>
          <w:top w:val="double" w:sz="4" w:space="0" w:color="877B77" w:themeColor="accent5"/>
          <w:right w:val="nil"/>
        </w:tcBorders>
      </w:tcPr>
    </w:tblStylePr>
  </w:style>
  <w:style w:type="table" w:styleId="GridTable1Light">
    <w:name w:val="Grid Table 1 Light"/>
    <w:basedOn w:val="TableNormal"/>
    <w:uiPriority w:val="46"/>
    <w:rsid w:val="002070B0"/>
    <w:pPr>
      <w:spacing w:after="0" w:line="240" w:lineRule="auto"/>
    </w:pPr>
    <w:rPr>
      <w:sz w:val="1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E09CE"/>
    <w:pPr>
      <w:spacing w:after="0" w:line="240" w:lineRule="auto"/>
    </w:pPr>
    <w:rPr>
      <w:sz w:val="18"/>
    </w:rPr>
    <w:tblPr>
      <w:tblStyleRowBandSize w:val="1"/>
      <w:tblStyleColBandSize w:val="1"/>
      <w:tblBorders>
        <w:top w:val="single" w:sz="4" w:space="0" w:color="CFABD4" w:themeColor="accent1" w:themeTint="66"/>
        <w:left w:val="single" w:sz="4" w:space="0" w:color="CFABD4" w:themeColor="accent1" w:themeTint="66"/>
        <w:bottom w:val="single" w:sz="4" w:space="0" w:color="CFABD4" w:themeColor="accent1" w:themeTint="66"/>
        <w:right w:val="single" w:sz="4" w:space="0" w:color="CFABD4" w:themeColor="accent1" w:themeTint="66"/>
        <w:insideH w:val="single" w:sz="4" w:space="0" w:color="CFABD4" w:themeColor="accent1" w:themeTint="66"/>
        <w:insideV w:val="single" w:sz="4" w:space="0" w:color="CFABD4" w:themeColor="accent1" w:themeTint="66"/>
      </w:tblBorders>
    </w:tblPr>
    <w:tblStylePr w:type="firstRow">
      <w:rPr>
        <w:b/>
        <w:bCs/>
      </w:rPr>
      <w:tblPr/>
      <w:tcPr>
        <w:tcBorders>
          <w:bottom w:val="single" w:sz="12" w:space="0" w:color="B781BF" w:themeColor="accent1" w:themeTint="99"/>
        </w:tcBorders>
      </w:tcPr>
    </w:tblStylePr>
    <w:tblStylePr w:type="lastRow">
      <w:rPr>
        <w:b/>
        <w:bCs/>
      </w:rPr>
      <w:tblPr/>
      <w:tcPr>
        <w:tcBorders>
          <w:top w:val="double" w:sz="2" w:space="0" w:color="B781BF" w:themeColor="accent1"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397823"/>
    <w:pPr>
      <w:spacing w:after="0" w:line="240" w:lineRule="auto"/>
    </w:pPr>
    <w:rPr>
      <w:sz w:val="18"/>
    </w:rPr>
    <w:tblPr>
      <w:tblStyleRowBandSize w:val="1"/>
      <w:tblStyleColBandSize w:val="1"/>
    </w:tblPr>
    <w:tblStylePr w:type="firstRow">
      <w:rPr>
        <w:rFonts w:asciiTheme="majorHAnsi" w:eastAsiaTheme="majorEastAsia" w:hAnsiTheme="majorHAnsi" w:cstheme="majorBidi"/>
        <w:i/>
        <w:iCs/>
        <w:sz w:val="18"/>
      </w:rPr>
      <w:tblPr/>
      <w:tcPr>
        <w:tcBorders>
          <w:bottom w:val="single" w:sz="4" w:space="0" w:color="E4E1DC" w:themeColor="accent6"/>
        </w:tcBorders>
        <w:shd w:val="clear" w:color="auto" w:fill="FFFFFF" w:themeFill="background1"/>
      </w:tcPr>
    </w:tblStylePr>
    <w:tblStylePr w:type="lastRow">
      <w:rPr>
        <w:rFonts w:asciiTheme="majorHAnsi" w:eastAsiaTheme="majorEastAsia" w:hAnsiTheme="majorHAnsi" w:cstheme="majorBidi"/>
        <w:i/>
        <w:iCs/>
        <w:sz w:val="18"/>
      </w:rPr>
      <w:tblPr/>
      <w:tcPr>
        <w:tcBorders>
          <w:top w:val="single" w:sz="4" w:space="0" w:color="E4E1DC" w:themeColor="accent6"/>
        </w:tcBorders>
        <w:shd w:val="clear" w:color="auto" w:fill="FFFFFF" w:themeFill="background1"/>
      </w:tcPr>
    </w:tblStylePr>
    <w:tblStylePr w:type="firstCol">
      <w:pPr>
        <w:jc w:val="right"/>
      </w:pPr>
      <w:rPr>
        <w:rFonts w:asciiTheme="majorHAnsi" w:eastAsiaTheme="majorEastAsia" w:hAnsiTheme="majorHAnsi" w:cstheme="majorBidi"/>
        <w:i/>
        <w:iCs/>
        <w:sz w:val="18"/>
      </w:rPr>
      <w:tblPr/>
      <w:tcPr>
        <w:tcBorders>
          <w:right w:val="single" w:sz="4" w:space="0" w:color="E4E1DC" w:themeColor="accent6"/>
        </w:tcBorders>
        <w:shd w:val="clear" w:color="auto" w:fill="FFFFFF" w:themeFill="background1"/>
      </w:tcPr>
    </w:tblStylePr>
    <w:tblStylePr w:type="lastCol">
      <w:rPr>
        <w:rFonts w:asciiTheme="majorHAnsi" w:eastAsiaTheme="majorEastAsia" w:hAnsiTheme="majorHAnsi" w:cstheme="majorBidi"/>
        <w:i/>
        <w:iCs/>
        <w:sz w:val="18"/>
      </w:rPr>
      <w:tblPr/>
      <w:tcPr>
        <w:tcBorders>
          <w:left w:val="single" w:sz="4" w:space="0" w:color="E4E1DC" w:themeColor="accent6"/>
        </w:tcBorders>
        <w:shd w:val="clear" w:color="auto" w:fill="FFFFFF" w:themeFill="background1"/>
      </w:tcPr>
    </w:tblStylePr>
    <w:tblStylePr w:type="band1Vert">
      <w:tblPr/>
      <w:tcPr>
        <w:shd w:val="clear" w:color="auto" w:fill="F9F8F7" w:themeFill="accent6" w:themeFillTint="33"/>
      </w:tcPr>
    </w:tblStylePr>
    <w:tblStylePr w:type="band1Horz">
      <w:tblPr/>
      <w:tcPr>
        <w:shd w:val="clear" w:color="auto" w:fill="F9F8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97823"/>
    <w:pPr>
      <w:spacing w:after="0" w:line="240" w:lineRule="auto"/>
    </w:pPr>
    <w:rPr>
      <w:sz w:val="18"/>
    </w:rPr>
    <w:tblPr>
      <w:tblStyleRowBandSize w:val="1"/>
      <w:tblStyleColBandSize w:val="1"/>
    </w:tblPr>
    <w:tblStylePr w:type="firstRow">
      <w:rPr>
        <w:rFonts w:asciiTheme="majorHAnsi" w:eastAsiaTheme="majorEastAsia" w:hAnsiTheme="majorHAnsi" w:cstheme="majorBidi"/>
        <w:i/>
        <w:iCs/>
        <w:sz w:val="18"/>
      </w:rPr>
      <w:tblPr/>
      <w:tcPr>
        <w:tcBorders>
          <w:bottom w:val="single" w:sz="4" w:space="0" w:color="877B77" w:themeColor="accent5"/>
        </w:tcBorders>
        <w:shd w:val="clear" w:color="auto" w:fill="FFFFFF" w:themeFill="background1"/>
      </w:tcPr>
    </w:tblStylePr>
    <w:tblStylePr w:type="lastRow">
      <w:rPr>
        <w:rFonts w:asciiTheme="majorHAnsi" w:eastAsiaTheme="majorEastAsia" w:hAnsiTheme="majorHAnsi" w:cstheme="majorBidi"/>
        <w:i/>
        <w:iCs/>
        <w:sz w:val="18"/>
      </w:rPr>
      <w:tblPr/>
      <w:tcPr>
        <w:tcBorders>
          <w:top w:val="single" w:sz="4" w:space="0" w:color="877B77" w:themeColor="accent5"/>
        </w:tcBorders>
        <w:shd w:val="clear" w:color="auto" w:fill="FFFFFF" w:themeFill="background1"/>
      </w:tcPr>
    </w:tblStylePr>
    <w:tblStylePr w:type="firstCol">
      <w:pPr>
        <w:jc w:val="right"/>
      </w:pPr>
      <w:rPr>
        <w:rFonts w:asciiTheme="majorHAnsi" w:eastAsiaTheme="majorEastAsia" w:hAnsiTheme="majorHAnsi" w:cstheme="majorBidi"/>
        <w:i/>
        <w:iCs/>
        <w:sz w:val="18"/>
      </w:rPr>
      <w:tblPr/>
      <w:tcPr>
        <w:tcBorders>
          <w:right w:val="single" w:sz="4" w:space="0" w:color="877B77" w:themeColor="accent5"/>
        </w:tcBorders>
        <w:shd w:val="clear" w:color="auto" w:fill="FFFFFF" w:themeFill="background1"/>
      </w:tcPr>
    </w:tblStylePr>
    <w:tblStylePr w:type="lastCol">
      <w:rPr>
        <w:rFonts w:asciiTheme="majorHAnsi" w:eastAsiaTheme="majorEastAsia" w:hAnsiTheme="majorHAnsi" w:cstheme="majorBidi"/>
        <w:i/>
        <w:iCs/>
        <w:sz w:val="18"/>
      </w:rPr>
      <w:tblPr/>
      <w:tcPr>
        <w:tcBorders>
          <w:left w:val="single" w:sz="4" w:space="0" w:color="877B77" w:themeColor="accent5"/>
        </w:tcBorders>
        <w:shd w:val="clear" w:color="auto" w:fill="FFFFFF" w:themeFill="background1"/>
      </w:tcPr>
    </w:tblStylePr>
    <w:tblStylePr w:type="band1Vert">
      <w:tblPr/>
      <w:tcPr>
        <w:shd w:val="clear" w:color="auto" w:fill="E7E4E3" w:themeFill="accent5" w:themeFillTint="33"/>
      </w:tcPr>
    </w:tblStylePr>
    <w:tblStylePr w:type="band1Horz">
      <w:tblPr/>
      <w:tcPr>
        <w:shd w:val="clear" w:color="auto" w:fill="E7E4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66C99"/>
    <w:pPr>
      <w:spacing w:after="0" w:line="240" w:lineRule="auto"/>
    </w:pPr>
    <w:rPr>
      <w:color w:val="A75941" w:themeColor="accent4" w:themeShade="BF"/>
      <w:sz w:val="18"/>
    </w:rPr>
    <w:tblPr>
      <w:tblStyleRowBandSize w:val="1"/>
      <w:tblStyleColBandSize w:val="1"/>
    </w:tblPr>
    <w:tblStylePr w:type="firstRow">
      <w:rPr>
        <w:rFonts w:asciiTheme="majorHAnsi" w:eastAsiaTheme="majorEastAsia" w:hAnsiTheme="majorHAnsi" w:cstheme="majorBidi"/>
        <w:i/>
        <w:iCs/>
        <w:sz w:val="18"/>
      </w:rPr>
      <w:tblPr/>
      <w:tcPr>
        <w:tcBorders>
          <w:bottom w:val="single" w:sz="4" w:space="0" w:color="C78570" w:themeColor="accent4"/>
        </w:tcBorders>
        <w:shd w:val="clear" w:color="auto" w:fill="FFFFFF" w:themeFill="background1"/>
      </w:tcPr>
    </w:tblStylePr>
    <w:tblStylePr w:type="lastRow">
      <w:rPr>
        <w:rFonts w:asciiTheme="majorHAnsi" w:eastAsiaTheme="majorEastAsia" w:hAnsiTheme="majorHAnsi" w:cstheme="majorBidi"/>
        <w:i/>
        <w:iCs/>
        <w:sz w:val="18"/>
      </w:rPr>
      <w:tblPr/>
      <w:tcPr>
        <w:tcBorders>
          <w:top w:val="single" w:sz="4" w:space="0" w:color="C78570" w:themeColor="accent4"/>
        </w:tcBorders>
        <w:shd w:val="clear" w:color="auto" w:fill="FFFFFF" w:themeFill="background1"/>
      </w:tcPr>
    </w:tblStylePr>
    <w:tblStylePr w:type="firstCol">
      <w:pPr>
        <w:jc w:val="right"/>
      </w:pPr>
      <w:rPr>
        <w:rFonts w:asciiTheme="majorHAnsi" w:eastAsiaTheme="majorEastAsia" w:hAnsiTheme="majorHAnsi" w:cstheme="majorBidi"/>
        <w:i/>
        <w:iCs/>
        <w:sz w:val="18"/>
      </w:rPr>
      <w:tblPr/>
      <w:tcPr>
        <w:tcBorders>
          <w:right w:val="single" w:sz="4" w:space="0" w:color="C78570" w:themeColor="accent4"/>
        </w:tcBorders>
        <w:shd w:val="clear" w:color="auto" w:fill="FFFFFF" w:themeFill="background1"/>
      </w:tcPr>
    </w:tblStylePr>
    <w:tblStylePr w:type="lastCol">
      <w:rPr>
        <w:rFonts w:asciiTheme="majorHAnsi" w:eastAsiaTheme="majorEastAsia" w:hAnsiTheme="majorHAnsi" w:cstheme="majorBidi"/>
        <w:i/>
        <w:iCs/>
        <w:sz w:val="18"/>
      </w:rPr>
      <w:tblPr/>
      <w:tcPr>
        <w:tcBorders>
          <w:left w:val="single" w:sz="4" w:space="0" w:color="C78570" w:themeColor="accent4"/>
        </w:tcBorders>
        <w:shd w:val="clear" w:color="auto" w:fill="FFFFFF" w:themeFill="background1"/>
      </w:tcPr>
    </w:tblStylePr>
    <w:tblStylePr w:type="band1Vert">
      <w:tblPr/>
      <w:tcPr>
        <w:shd w:val="clear" w:color="auto" w:fill="F3E6E2" w:themeFill="accent4" w:themeFillTint="33"/>
      </w:tcPr>
    </w:tblStylePr>
    <w:tblStylePr w:type="band1Horz">
      <w:tblPr/>
      <w:tcPr>
        <w:shd w:val="clear" w:color="auto" w:fill="F3E6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6">
    <w:name w:val="List Table 6 Colorful Accent 6"/>
    <w:basedOn w:val="TableNormal"/>
    <w:uiPriority w:val="51"/>
    <w:rsid w:val="00B66C99"/>
    <w:pPr>
      <w:spacing w:after="0" w:line="240" w:lineRule="auto"/>
    </w:pPr>
    <w:rPr>
      <w:sz w:val="18"/>
    </w:rPr>
    <w:tblPr>
      <w:tblStyleRowBandSize w:val="1"/>
      <w:tblStyleColBandSize w:val="1"/>
      <w:tblBorders>
        <w:top w:val="single" w:sz="4" w:space="0" w:color="E4E1DC" w:themeColor="accent6"/>
        <w:bottom w:val="single" w:sz="4" w:space="0" w:color="E4E1DC" w:themeColor="accent6"/>
      </w:tblBorders>
    </w:tblPr>
    <w:tblStylePr w:type="firstRow">
      <w:rPr>
        <w:rFonts w:asciiTheme="minorHAnsi" w:hAnsiTheme="minorHAnsi"/>
        <w:b/>
        <w:bCs/>
        <w:sz w:val="18"/>
      </w:rPr>
      <w:tblPr/>
      <w:tcPr>
        <w:tcBorders>
          <w:bottom w:val="single" w:sz="4" w:space="0" w:color="E4E1DC" w:themeColor="accent6"/>
        </w:tcBorders>
      </w:tcPr>
    </w:tblStylePr>
    <w:tblStylePr w:type="lastRow">
      <w:rPr>
        <w:rFonts w:asciiTheme="minorHAnsi" w:hAnsiTheme="minorHAnsi"/>
        <w:b/>
        <w:bCs/>
        <w:sz w:val="18"/>
      </w:rPr>
      <w:tblPr/>
      <w:tcPr>
        <w:tcBorders>
          <w:top w:val="double" w:sz="4" w:space="0" w:color="E4E1DC" w:themeColor="accent6"/>
        </w:tcBorders>
      </w:tcPr>
    </w:tblStylePr>
    <w:tblStylePr w:type="firstCol">
      <w:rPr>
        <w:rFonts w:asciiTheme="minorHAnsi" w:hAnsiTheme="minorHAnsi"/>
        <w:b/>
        <w:bCs/>
        <w:sz w:val="18"/>
      </w:rPr>
    </w:tblStylePr>
    <w:tblStylePr w:type="lastCol">
      <w:rPr>
        <w:rFonts w:asciiTheme="minorHAnsi" w:hAnsiTheme="minorHAnsi"/>
        <w:b/>
        <w:bCs/>
        <w:sz w:val="18"/>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ListTable5Dark-Accent6">
    <w:name w:val="List Table 5 Dark Accent 6"/>
    <w:basedOn w:val="TableNormal"/>
    <w:uiPriority w:val="50"/>
    <w:rsid w:val="00B66C99"/>
    <w:pPr>
      <w:spacing w:after="0" w:line="240" w:lineRule="auto"/>
    </w:pPr>
    <w:rPr>
      <w:sz w:val="18"/>
    </w:rPr>
    <w:tblPr>
      <w:tblStyleRowBandSize w:val="1"/>
      <w:tblStyleColBandSize w:val="1"/>
      <w:tblBorders>
        <w:top w:val="single" w:sz="24" w:space="0" w:color="E4E1DC" w:themeColor="accent6"/>
        <w:left w:val="single" w:sz="24" w:space="0" w:color="E4E1DC" w:themeColor="accent6"/>
        <w:bottom w:val="single" w:sz="24" w:space="0" w:color="E4E1DC" w:themeColor="accent6"/>
        <w:right w:val="single" w:sz="24" w:space="0" w:color="E4E1DC" w:themeColor="accent6"/>
      </w:tblBorders>
    </w:tblPr>
    <w:tcPr>
      <w:shd w:val="clear" w:color="auto" w:fill="E4E1D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6">
    <w:name w:val="List Table 4 Accent 6"/>
    <w:basedOn w:val="TableNormal"/>
    <w:uiPriority w:val="49"/>
    <w:rsid w:val="00B66C99"/>
    <w:pPr>
      <w:spacing w:after="0" w:line="240" w:lineRule="auto"/>
    </w:pPr>
    <w:rPr>
      <w:sz w:val="18"/>
    </w:rPr>
    <w:tblPr>
      <w:tblStyleRowBandSize w:val="1"/>
      <w:tblStyleColBandSize w:val="1"/>
      <w:tblBorders>
        <w:top w:val="single" w:sz="4" w:space="0" w:color="EEECE9" w:themeColor="accent6" w:themeTint="99"/>
        <w:left w:val="single" w:sz="4" w:space="0" w:color="EEECE9" w:themeColor="accent6" w:themeTint="99"/>
        <w:bottom w:val="single" w:sz="4" w:space="0" w:color="EEECE9" w:themeColor="accent6" w:themeTint="99"/>
        <w:right w:val="single" w:sz="4" w:space="0" w:color="EEECE9" w:themeColor="accent6" w:themeTint="99"/>
        <w:insideH w:val="single" w:sz="4" w:space="0" w:color="EEECE9" w:themeColor="accent6" w:themeTint="99"/>
      </w:tblBorders>
    </w:tblPr>
    <w:tblStylePr w:type="firstRow">
      <w:rPr>
        <w:b/>
        <w:bCs/>
        <w:color w:val="auto"/>
      </w:rPr>
      <w:tblPr/>
      <w:tcPr>
        <w:tcBorders>
          <w:top w:val="single" w:sz="4" w:space="0" w:color="E4E1DC" w:themeColor="accent6"/>
          <w:left w:val="single" w:sz="4" w:space="0" w:color="E4E1DC" w:themeColor="accent6"/>
          <w:bottom w:val="single" w:sz="4" w:space="0" w:color="E4E1DC" w:themeColor="accent6"/>
          <w:right w:val="single" w:sz="4" w:space="0" w:color="E4E1DC" w:themeColor="accent6"/>
          <w:insideH w:val="nil"/>
        </w:tcBorders>
        <w:shd w:val="clear" w:color="auto" w:fill="E4E1DC" w:themeFill="accent6"/>
      </w:tcPr>
    </w:tblStylePr>
    <w:tblStylePr w:type="lastRow">
      <w:rPr>
        <w:b/>
        <w:bCs/>
      </w:rPr>
      <w:tblPr/>
      <w:tcPr>
        <w:tcBorders>
          <w:top w:val="double" w:sz="4" w:space="0" w:color="EEECE9" w:themeColor="accent6" w:themeTint="99"/>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ListTable3-Accent6">
    <w:name w:val="List Table 3 Accent 6"/>
    <w:basedOn w:val="TableNormal"/>
    <w:uiPriority w:val="48"/>
    <w:rsid w:val="00B66C99"/>
    <w:pPr>
      <w:spacing w:after="0" w:line="240" w:lineRule="auto"/>
    </w:pPr>
    <w:rPr>
      <w:sz w:val="18"/>
    </w:rPr>
    <w:tblPr>
      <w:tblStyleRowBandSize w:val="1"/>
      <w:tblStyleColBandSize w:val="1"/>
      <w:tblBorders>
        <w:top w:val="single" w:sz="4" w:space="0" w:color="E4E1DC" w:themeColor="accent6"/>
        <w:left w:val="single" w:sz="4" w:space="0" w:color="E4E1DC" w:themeColor="accent6"/>
        <w:bottom w:val="single" w:sz="4" w:space="0" w:color="E4E1DC" w:themeColor="accent6"/>
        <w:right w:val="single" w:sz="4" w:space="0" w:color="E4E1DC" w:themeColor="accent6"/>
      </w:tblBorders>
    </w:tblPr>
    <w:tblStylePr w:type="firstRow">
      <w:rPr>
        <w:b/>
        <w:bCs/>
        <w:color w:val="auto"/>
      </w:rPr>
      <w:tblPr/>
      <w:tcPr>
        <w:shd w:val="clear" w:color="auto" w:fill="E4E1DC" w:themeFill="accent6"/>
      </w:tcPr>
    </w:tblStylePr>
    <w:tblStylePr w:type="lastRow">
      <w:rPr>
        <w:b/>
        <w:bCs/>
      </w:rPr>
      <w:tblPr/>
      <w:tcPr>
        <w:tcBorders>
          <w:top w:val="double" w:sz="4" w:space="0" w:color="E4E1D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E1DC" w:themeColor="accent6"/>
          <w:right w:val="single" w:sz="4" w:space="0" w:color="E4E1DC" w:themeColor="accent6"/>
        </w:tcBorders>
      </w:tcPr>
    </w:tblStylePr>
    <w:tblStylePr w:type="band1Horz">
      <w:tblPr/>
      <w:tcPr>
        <w:tcBorders>
          <w:top w:val="single" w:sz="4" w:space="0" w:color="E4E1DC" w:themeColor="accent6"/>
          <w:bottom w:val="single" w:sz="4" w:space="0" w:color="E4E1D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E1DC" w:themeColor="accent6"/>
          <w:left w:val="nil"/>
        </w:tcBorders>
      </w:tcPr>
    </w:tblStylePr>
    <w:tblStylePr w:type="swCell">
      <w:tblPr/>
      <w:tcPr>
        <w:tcBorders>
          <w:top w:val="double" w:sz="4" w:space="0" w:color="E4E1DC" w:themeColor="accent6"/>
          <w:right w:val="nil"/>
        </w:tcBorders>
      </w:tcPr>
    </w:tblStylePr>
  </w:style>
  <w:style w:type="table" w:styleId="ListTable2-Accent6">
    <w:name w:val="List Table 2 Accent 6"/>
    <w:basedOn w:val="TableNormal"/>
    <w:uiPriority w:val="47"/>
    <w:rsid w:val="00B66C99"/>
    <w:pPr>
      <w:spacing w:after="0" w:line="240" w:lineRule="auto"/>
    </w:pPr>
    <w:rPr>
      <w:sz w:val="18"/>
    </w:rPr>
    <w:tblPr>
      <w:tblStyleRowBandSize w:val="1"/>
      <w:tblStyleColBandSize w:val="1"/>
      <w:tblBorders>
        <w:top w:val="single" w:sz="4" w:space="0" w:color="EEECE9" w:themeColor="accent6" w:themeTint="99"/>
        <w:bottom w:val="single" w:sz="4" w:space="0" w:color="EEECE9" w:themeColor="accent6" w:themeTint="99"/>
        <w:insideH w:val="single" w:sz="4" w:space="0" w:color="EEECE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ListTable1Light-Accent6">
    <w:name w:val="List Table 1 Light Accent 6"/>
    <w:basedOn w:val="TableNormal"/>
    <w:uiPriority w:val="46"/>
    <w:rsid w:val="00B66C99"/>
    <w:pPr>
      <w:spacing w:after="0" w:line="240" w:lineRule="auto"/>
    </w:pPr>
    <w:rPr>
      <w:sz w:val="18"/>
    </w:rPr>
    <w:tblPr>
      <w:tblStyleRowBandSize w:val="1"/>
      <w:tblStyleColBandSize w:val="1"/>
    </w:tblPr>
    <w:tblStylePr w:type="firstRow">
      <w:rPr>
        <w:b/>
        <w:bCs/>
      </w:rPr>
      <w:tblPr/>
      <w:tcPr>
        <w:tcBorders>
          <w:bottom w:val="single" w:sz="4" w:space="0" w:color="EEECE9" w:themeColor="accent6" w:themeTint="99"/>
        </w:tcBorders>
      </w:tcPr>
    </w:tblStylePr>
    <w:tblStylePr w:type="lastRow">
      <w:rPr>
        <w:b/>
        <w:bCs/>
      </w:rPr>
      <w:tblPr/>
      <w:tcPr>
        <w:tcBorders>
          <w:top w:val="single" w:sz="4" w:space="0" w:color="EEECE9" w:themeColor="accent6" w:themeTint="99"/>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GridTable7Colorful-Accent6">
    <w:name w:val="Grid Table 7 Colorful Accent 6"/>
    <w:basedOn w:val="TableNormal"/>
    <w:uiPriority w:val="52"/>
    <w:rsid w:val="00B66C99"/>
    <w:pPr>
      <w:spacing w:after="0" w:line="240" w:lineRule="auto"/>
    </w:pPr>
    <w:rPr>
      <w:sz w:val="18"/>
    </w:rPr>
    <w:tblPr>
      <w:tblStyleRowBandSize w:val="1"/>
      <w:tblStyleColBandSize w:val="1"/>
      <w:tblBorders>
        <w:top w:val="single" w:sz="4" w:space="0" w:color="EEECE9" w:themeColor="accent6" w:themeTint="99"/>
        <w:left w:val="single" w:sz="4" w:space="0" w:color="EEECE9" w:themeColor="accent6" w:themeTint="99"/>
        <w:bottom w:val="single" w:sz="4" w:space="0" w:color="EEECE9" w:themeColor="accent6" w:themeTint="99"/>
        <w:right w:val="single" w:sz="4" w:space="0" w:color="EEECE9" w:themeColor="accent6" w:themeTint="99"/>
        <w:insideH w:val="single" w:sz="4" w:space="0" w:color="EEECE9" w:themeColor="accent6" w:themeTint="99"/>
        <w:insideV w:val="single" w:sz="4" w:space="0" w:color="EEECE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8F7" w:themeFill="accent6" w:themeFillTint="33"/>
      </w:tcPr>
    </w:tblStylePr>
    <w:tblStylePr w:type="band1Horz">
      <w:tblPr/>
      <w:tcPr>
        <w:shd w:val="clear" w:color="auto" w:fill="F9F8F7" w:themeFill="accent6" w:themeFillTint="33"/>
      </w:tcPr>
    </w:tblStylePr>
    <w:tblStylePr w:type="neCell">
      <w:tblPr/>
      <w:tcPr>
        <w:tcBorders>
          <w:bottom w:val="single" w:sz="4" w:space="0" w:color="EEECE9" w:themeColor="accent6" w:themeTint="99"/>
        </w:tcBorders>
      </w:tcPr>
    </w:tblStylePr>
    <w:tblStylePr w:type="nwCell">
      <w:tblPr/>
      <w:tcPr>
        <w:tcBorders>
          <w:bottom w:val="single" w:sz="4" w:space="0" w:color="EEECE9" w:themeColor="accent6" w:themeTint="99"/>
        </w:tcBorders>
      </w:tcPr>
    </w:tblStylePr>
    <w:tblStylePr w:type="seCell">
      <w:tblPr/>
      <w:tcPr>
        <w:tcBorders>
          <w:top w:val="single" w:sz="4" w:space="0" w:color="EEECE9" w:themeColor="accent6" w:themeTint="99"/>
        </w:tcBorders>
      </w:tcPr>
    </w:tblStylePr>
    <w:tblStylePr w:type="swCell">
      <w:tblPr/>
      <w:tcPr>
        <w:tcBorders>
          <w:top w:val="single" w:sz="4" w:space="0" w:color="EEECE9" w:themeColor="accent6" w:themeTint="99"/>
        </w:tcBorders>
      </w:tcPr>
    </w:tblStylePr>
  </w:style>
  <w:style w:type="table" w:styleId="GridTable6Colorful-Accent6">
    <w:name w:val="Grid Table 6 Colorful Accent 6"/>
    <w:basedOn w:val="TableNormal"/>
    <w:uiPriority w:val="51"/>
    <w:rsid w:val="00745914"/>
    <w:pPr>
      <w:spacing w:after="0" w:line="240" w:lineRule="auto"/>
    </w:pPr>
    <w:rPr>
      <w:sz w:val="18"/>
    </w:rPr>
    <w:tblPr>
      <w:tblStyleRowBandSize w:val="1"/>
      <w:tblStyleColBandSize w:val="1"/>
      <w:tblBorders>
        <w:top w:val="single" w:sz="4" w:space="0" w:color="EEECE9" w:themeColor="accent6" w:themeTint="99"/>
        <w:left w:val="single" w:sz="4" w:space="0" w:color="EEECE9" w:themeColor="accent6" w:themeTint="99"/>
        <w:bottom w:val="single" w:sz="4" w:space="0" w:color="EEECE9" w:themeColor="accent6" w:themeTint="99"/>
        <w:right w:val="single" w:sz="4" w:space="0" w:color="EEECE9" w:themeColor="accent6" w:themeTint="99"/>
        <w:insideH w:val="single" w:sz="4" w:space="0" w:color="EEECE9" w:themeColor="accent6" w:themeTint="99"/>
        <w:insideV w:val="single" w:sz="4" w:space="0" w:color="EEECE9" w:themeColor="accent6" w:themeTint="99"/>
      </w:tblBorders>
    </w:tblPr>
    <w:tblStylePr w:type="firstRow">
      <w:rPr>
        <w:b/>
        <w:bCs/>
      </w:rPr>
      <w:tblPr/>
      <w:tcPr>
        <w:tcBorders>
          <w:bottom w:val="single" w:sz="12" w:space="0" w:color="EEECE9" w:themeColor="accent6" w:themeTint="99"/>
        </w:tcBorders>
      </w:tcPr>
    </w:tblStylePr>
    <w:tblStylePr w:type="lastRow">
      <w:rPr>
        <w:b/>
        <w:bCs/>
      </w:rPr>
      <w:tblPr/>
      <w:tcPr>
        <w:tcBorders>
          <w:top w:val="double" w:sz="4" w:space="0" w:color="EEECE9" w:themeColor="accent6" w:themeTint="99"/>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GridTable5Dark-Accent6">
    <w:name w:val="Grid Table 5 Dark Accent 6"/>
    <w:basedOn w:val="TableNormal"/>
    <w:uiPriority w:val="50"/>
    <w:rsid w:val="00745914"/>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8F7" w:themeFill="accent6" w:themeFillTint="33"/>
    </w:tcPr>
    <w:tblStylePr w:type="firstRow">
      <w:rPr>
        <w:b/>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E1DC" w:themeFill="accent6"/>
      </w:tcPr>
    </w:tblStylePr>
    <w:tblStylePr w:type="lastRow">
      <w:rPr>
        <w:b/>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E1DC" w:themeFill="accent6"/>
      </w:tcPr>
    </w:tblStylePr>
    <w:tblStylePr w:type="firstCol">
      <w:rPr>
        <w:b/>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E1DC" w:themeFill="accent6"/>
      </w:tcPr>
    </w:tblStylePr>
    <w:tblStylePr w:type="lastCol">
      <w:rPr>
        <w:b/>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E1DC" w:themeFill="accent6"/>
      </w:tcPr>
    </w:tblStylePr>
    <w:tblStylePr w:type="band1Vert">
      <w:tblPr/>
      <w:tcPr>
        <w:shd w:val="clear" w:color="auto" w:fill="F4F2F0" w:themeFill="accent6" w:themeFillTint="66"/>
      </w:tcPr>
    </w:tblStylePr>
    <w:tblStylePr w:type="band1Horz">
      <w:tblPr/>
      <w:tcPr>
        <w:shd w:val="clear" w:color="auto" w:fill="F4F2F0" w:themeFill="accent6" w:themeFillTint="66"/>
      </w:tcPr>
    </w:tblStylePr>
  </w:style>
  <w:style w:type="table" w:styleId="GridTable4-Accent6">
    <w:name w:val="Grid Table 4 Accent 6"/>
    <w:basedOn w:val="TableNormal"/>
    <w:uiPriority w:val="49"/>
    <w:rsid w:val="00745914"/>
    <w:pPr>
      <w:spacing w:after="0" w:line="240" w:lineRule="auto"/>
    </w:pPr>
    <w:rPr>
      <w:sz w:val="18"/>
    </w:rPr>
    <w:tblPr>
      <w:tblStyleRowBandSize w:val="1"/>
      <w:tblStyleColBandSize w:val="1"/>
      <w:tblBorders>
        <w:top w:val="single" w:sz="4" w:space="0" w:color="EEECE9" w:themeColor="accent6" w:themeTint="99"/>
        <w:left w:val="single" w:sz="4" w:space="0" w:color="EEECE9" w:themeColor="accent6" w:themeTint="99"/>
        <w:bottom w:val="single" w:sz="4" w:space="0" w:color="EEECE9" w:themeColor="accent6" w:themeTint="99"/>
        <w:right w:val="single" w:sz="4" w:space="0" w:color="EEECE9" w:themeColor="accent6" w:themeTint="99"/>
        <w:insideH w:val="single" w:sz="4" w:space="0" w:color="EEECE9" w:themeColor="accent6" w:themeTint="99"/>
        <w:insideV w:val="single" w:sz="4" w:space="0" w:color="EEECE9" w:themeColor="accent6" w:themeTint="99"/>
      </w:tblBorders>
    </w:tblPr>
    <w:tblStylePr w:type="firstRow">
      <w:rPr>
        <w:b/>
        <w:bCs/>
        <w:color w:val="auto"/>
      </w:rPr>
      <w:tblPr/>
      <w:tcPr>
        <w:tcBorders>
          <w:top w:val="single" w:sz="4" w:space="0" w:color="E4E1DC" w:themeColor="accent6"/>
          <w:left w:val="single" w:sz="4" w:space="0" w:color="E4E1DC" w:themeColor="accent6"/>
          <w:bottom w:val="single" w:sz="4" w:space="0" w:color="E4E1DC" w:themeColor="accent6"/>
          <w:right w:val="single" w:sz="4" w:space="0" w:color="E4E1DC" w:themeColor="accent6"/>
          <w:insideH w:val="nil"/>
          <w:insideV w:val="nil"/>
        </w:tcBorders>
        <w:shd w:val="clear" w:color="auto" w:fill="E4E1DC" w:themeFill="accent6"/>
      </w:tcPr>
    </w:tblStylePr>
    <w:tblStylePr w:type="lastRow">
      <w:rPr>
        <w:b/>
        <w:bCs/>
      </w:rPr>
      <w:tblPr/>
      <w:tcPr>
        <w:tcBorders>
          <w:top w:val="double" w:sz="4" w:space="0" w:color="E4E1DC" w:themeColor="accent6"/>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GridTable3-Accent6">
    <w:name w:val="Grid Table 3 Accent 6"/>
    <w:basedOn w:val="TableNormal"/>
    <w:uiPriority w:val="48"/>
    <w:rsid w:val="00673420"/>
    <w:pPr>
      <w:spacing w:after="0" w:line="240" w:lineRule="auto"/>
    </w:pPr>
    <w:rPr>
      <w:sz w:val="18"/>
    </w:rPr>
    <w:tblPr>
      <w:tblStyleRowBandSize w:val="1"/>
      <w:tblStyleColBandSize w:val="1"/>
      <w:tblBorders>
        <w:top w:val="single" w:sz="4" w:space="0" w:color="EEECE9" w:themeColor="accent6" w:themeTint="99"/>
        <w:left w:val="single" w:sz="4" w:space="0" w:color="EEECE9" w:themeColor="accent6" w:themeTint="99"/>
        <w:bottom w:val="single" w:sz="4" w:space="0" w:color="EEECE9" w:themeColor="accent6" w:themeTint="99"/>
        <w:right w:val="single" w:sz="4" w:space="0" w:color="EEECE9" w:themeColor="accent6" w:themeTint="99"/>
        <w:insideH w:val="single" w:sz="4" w:space="0" w:color="EEECE9" w:themeColor="accent6" w:themeTint="99"/>
        <w:insideV w:val="single" w:sz="4" w:space="0" w:color="EEECE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8F7" w:themeFill="accent6" w:themeFillTint="33"/>
      </w:tcPr>
    </w:tblStylePr>
    <w:tblStylePr w:type="band1Horz">
      <w:tblPr/>
      <w:tcPr>
        <w:shd w:val="clear" w:color="auto" w:fill="F9F8F7" w:themeFill="accent6" w:themeFillTint="33"/>
      </w:tcPr>
    </w:tblStylePr>
    <w:tblStylePr w:type="neCell">
      <w:tblPr/>
      <w:tcPr>
        <w:tcBorders>
          <w:bottom w:val="single" w:sz="4" w:space="0" w:color="EEECE9" w:themeColor="accent6" w:themeTint="99"/>
        </w:tcBorders>
      </w:tcPr>
    </w:tblStylePr>
    <w:tblStylePr w:type="nwCell">
      <w:tblPr/>
      <w:tcPr>
        <w:tcBorders>
          <w:bottom w:val="single" w:sz="4" w:space="0" w:color="EEECE9" w:themeColor="accent6" w:themeTint="99"/>
        </w:tcBorders>
      </w:tcPr>
    </w:tblStylePr>
    <w:tblStylePr w:type="seCell">
      <w:tblPr/>
      <w:tcPr>
        <w:tcBorders>
          <w:top w:val="single" w:sz="4" w:space="0" w:color="EEECE9" w:themeColor="accent6" w:themeTint="99"/>
        </w:tcBorders>
      </w:tcPr>
    </w:tblStylePr>
    <w:tblStylePr w:type="swCell">
      <w:tblPr/>
      <w:tcPr>
        <w:tcBorders>
          <w:top w:val="single" w:sz="4" w:space="0" w:color="EEECE9" w:themeColor="accent6" w:themeTint="99"/>
        </w:tcBorders>
      </w:tcPr>
    </w:tblStylePr>
  </w:style>
  <w:style w:type="table" w:styleId="GridTable2-Accent6">
    <w:name w:val="Grid Table 2 Accent 6"/>
    <w:basedOn w:val="TableNormal"/>
    <w:uiPriority w:val="47"/>
    <w:rsid w:val="00A350E1"/>
    <w:pPr>
      <w:spacing w:after="0" w:line="240" w:lineRule="auto"/>
    </w:pPr>
    <w:rPr>
      <w:sz w:val="18"/>
    </w:rPr>
    <w:tblPr>
      <w:tblStyleRowBandSize w:val="1"/>
      <w:tblStyleColBandSize w:val="1"/>
      <w:tblBorders>
        <w:top w:val="single" w:sz="2" w:space="0" w:color="EEECE9" w:themeColor="accent6" w:themeTint="99"/>
        <w:bottom w:val="single" w:sz="2" w:space="0" w:color="EEECE9" w:themeColor="accent6" w:themeTint="99"/>
        <w:insideH w:val="single" w:sz="2" w:space="0" w:color="EEECE9" w:themeColor="accent6" w:themeTint="99"/>
        <w:insideV w:val="single" w:sz="2" w:space="0" w:color="EEECE9" w:themeColor="accent6" w:themeTint="99"/>
      </w:tblBorders>
    </w:tblPr>
    <w:tblStylePr w:type="firstRow">
      <w:rPr>
        <w:b/>
        <w:bCs/>
      </w:rPr>
      <w:tblPr/>
      <w:tcPr>
        <w:tcBorders>
          <w:top w:val="nil"/>
          <w:bottom w:val="single" w:sz="12" w:space="0" w:color="EEECE9" w:themeColor="accent6" w:themeTint="99"/>
          <w:insideH w:val="nil"/>
          <w:insideV w:val="nil"/>
        </w:tcBorders>
        <w:shd w:val="clear" w:color="auto" w:fill="FFFFFF" w:themeFill="background1"/>
      </w:tcPr>
    </w:tblStylePr>
    <w:tblStylePr w:type="lastRow">
      <w:rPr>
        <w:b/>
        <w:bCs/>
      </w:rPr>
      <w:tblPr/>
      <w:tcPr>
        <w:tcBorders>
          <w:top w:val="double" w:sz="2" w:space="0" w:color="EEECE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GridTable1Light-Accent6">
    <w:name w:val="Grid Table 1 Light Accent 6"/>
    <w:basedOn w:val="TableNormal"/>
    <w:uiPriority w:val="46"/>
    <w:rsid w:val="001E09CE"/>
    <w:pPr>
      <w:spacing w:after="0" w:line="240" w:lineRule="auto"/>
    </w:pPr>
    <w:rPr>
      <w:sz w:val="18"/>
    </w:rPr>
    <w:tblPr>
      <w:tblStyleRowBandSize w:val="1"/>
      <w:tblStyleColBandSize w:val="1"/>
      <w:tblBorders>
        <w:top w:val="single" w:sz="4" w:space="0" w:color="F4F2F0" w:themeColor="accent6" w:themeTint="66"/>
        <w:left w:val="single" w:sz="4" w:space="0" w:color="F4F2F0" w:themeColor="accent6" w:themeTint="66"/>
        <w:bottom w:val="single" w:sz="4" w:space="0" w:color="F4F2F0" w:themeColor="accent6" w:themeTint="66"/>
        <w:right w:val="single" w:sz="4" w:space="0" w:color="F4F2F0" w:themeColor="accent6" w:themeTint="66"/>
        <w:insideH w:val="single" w:sz="4" w:space="0" w:color="F4F2F0" w:themeColor="accent6" w:themeTint="66"/>
        <w:insideV w:val="single" w:sz="4" w:space="0" w:color="F4F2F0" w:themeColor="accent6" w:themeTint="66"/>
      </w:tblBorders>
    </w:tblPr>
    <w:tblStylePr w:type="firstRow">
      <w:rPr>
        <w:b/>
        <w:bCs/>
      </w:rPr>
      <w:tblPr/>
      <w:tcPr>
        <w:tcBorders>
          <w:bottom w:val="single" w:sz="12" w:space="0" w:color="EEECE9" w:themeColor="accent6" w:themeTint="99"/>
        </w:tcBorders>
      </w:tcPr>
    </w:tblStylePr>
    <w:tblStylePr w:type="lastRow">
      <w:rPr>
        <w:b/>
        <w:bCs/>
      </w:rPr>
      <w:tblPr/>
      <w:tcPr>
        <w:tcBorders>
          <w:top w:val="double" w:sz="2" w:space="0" w:color="EEECE9" w:themeColor="accent6"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350E1"/>
    <w:pPr>
      <w:spacing w:after="0" w:line="240" w:lineRule="auto"/>
    </w:pPr>
    <w:rPr>
      <w:sz w:val="18"/>
    </w:rPr>
    <w:tblPr>
      <w:tblStyleRowBandSize w:val="1"/>
      <w:tblStyleColBandSize w:val="1"/>
      <w:tblBorders>
        <w:top w:val="single" w:sz="4" w:space="0" w:color="DDC9FF" w:themeColor="accent3" w:themeTint="99"/>
        <w:left w:val="single" w:sz="4" w:space="0" w:color="DDC9FF" w:themeColor="accent3" w:themeTint="99"/>
        <w:bottom w:val="single" w:sz="4" w:space="0" w:color="DDC9FF" w:themeColor="accent3" w:themeTint="99"/>
        <w:right w:val="single" w:sz="4" w:space="0" w:color="DDC9FF" w:themeColor="accent3" w:themeTint="99"/>
        <w:insideH w:val="single" w:sz="4" w:space="0" w:color="DDC9FF" w:themeColor="accent3" w:themeTint="99"/>
        <w:insideV w:val="single" w:sz="4" w:space="0" w:color="DDC9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DFF" w:themeFill="accent3" w:themeFillTint="33"/>
      </w:tcPr>
    </w:tblStylePr>
    <w:tblStylePr w:type="band1Horz">
      <w:tblPr/>
      <w:tcPr>
        <w:shd w:val="clear" w:color="auto" w:fill="F3EDFF" w:themeFill="accent3" w:themeFillTint="33"/>
      </w:tcPr>
    </w:tblStylePr>
    <w:tblStylePr w:type="neCell">
      <w:tblPr/>
      <w:tcPr>
        <w:tcBorders>
          <w:bottom w:val="single" w:sz="4" w:space="0" w:color="DDC9FF" w:themeColor="accent3" w:themeTint="99"/>
        </w:tcBorders>
      </w:tcPr>
    </w:tblStylePr>
    <w:tblStylePr w:type="nwCell">
      <w:tblPr/>
      <w:tcPr>
        <w:tcBorders>
          <w:bottom w:val="single" w:sz="4" w:space="0" w:color="DDC9FF" w:themeColor="accent3" w:themeTint="99"/>
        </w:tcBorders>
      </w:tcPr>
    </w:tblStylePr>
    <w:tblStylePr w:type="seCell">
      <w:tblPr/>
      <w:tcPr>
        <w:tcBorders>
          <w:top w:val="single" w:sz="4" w:space="0" w:color="DDC9FF" w:themeColor="accent3" w:themeTint="99"/>
        </w:tcBorders>
      </w:tcPr>
    </w:tblStylePr>
    <w:tblStylePr w:type="swCell">
      <w:tblPr/>
      <w:tcPr>
        <w:tcBorders>
          <w:top w:val="single" w:sz="4" w:space="0" w:color="DDC9FF" w:themeColor="accent3" w:themeTint="99"/>
        </w:tcBorders>
      </w:tcPr>
    </w:tblStylePr>
  </w:style>
  <w:style w:type="table" w:styleId="GridTable3-Accent5">
    <w:name w:val="Grid Table 3 Accent 5"/>
    <w:basedOn w:val="TableNormal"/>
    <w:uiPriority w:val="48"/>
    <w:rsid w:val="00673420"/>
    <w:pPr>
      <w:spacing w:after="0" w:line="240" w:lineRule="auto"/>
    </w:pPr>
    <w:rPr>
      <w:sz w:val="18"/>
    </w:rPr>
    <w:tblPr>
      <w:tblStyleRowBandSize w:val="1"/>
      <w:tblStyleColBandSize w:val="1"/>
      <w:tblBorders>
        <w:top w:val="single" w:sz="4" w:space="0" w:color="B7AFAD" w:themeColor="accent5" w:themeTint="99"/>
        <w:left w:val="single" w:sz="4" w:space="0" w:color="B7AFAD" w:themeColor="accent5" w:themeTint="99"/>
        <w:bottom w:val="single" w:sz="4" w:space="0" w:color="B7AFAD" w:themeColor="accent5" w:themeTint="99"/>
        <w:right w:val="single" w:sz="4" w:space="0" w:color="B7AFAD" w:themeColor="accent5" w:themeTint="99"/>
        <w:insideH w:val="single" w:sz="4" w:space="0" w:color="B7AFAD" w:themeColor="accent5" w:themeTint="99"/>
        <w:insideV w:val="single" w:sz="4" w:space="0" w:color="B7AFA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4E3" w:themeFill="accent5" w:themeFillTint="33"/>
      </w:tcPr>
    </w:tblStylePr>
    <w:tblStylePr w:type="band1Horz">
      <w:tblPr/>
      <w:tcPr>
        <w:shd w:val="clear" w:color="auto" w:fill="E7E4E3" w:themeFill="accent5" w:themeFillTint="33"/>
      </w:tcPr>
    </w:tblStylePr>
    <w:tblStylePr w:type="neCell">
      <w:tblPr/>
      <w:tcPr>
        <w:tcBorders>
          <w:bottom w:val="single" w:sz="4" w:space="0" w:color="B7AFAD" w:themeColor="accent5" w:themeTint="99"/>
        </w:tcBorders>
      </w:tcPr>
    </w:tblStylePr>
    <w:tblStylePr w:type="nwCell">
      <w:tblPr/>
      <w:tcPr>
        <w:tcBorders>
          <w:bottom w:val="single" w:sz="4" w:space="0" w:color="B7AFAD" w:themeColor="accent5" w:themeTint="99"/>
        </w:tcBorders>
      </w:tcPr>
    </w:tblStylePr>
    <w:tblStylePr w:type="seCell">
      <w:tblPr/>
      <w:tcPr>
        <w:tcBorders>
          <w:top w:val="single" w:sz="4" w:space="0" w:color="B7AFAD" w:themeColor="accent5" w:themeTint="99"/>
        </w:tcBorders>
      </w:tcPr>
    </w:tblStylePr>
    <w:tblStylePr w:type="swCell">
      <w:tblPr/>
      <w:tcPr>
        <w:tcBorders>
          <w:top w:val="single" w:sz="4" w:space="0" w:color="B7AFAD" w:themeColor="accent5" w:themeTint="99"/>
        </w:tcBorders>
      </w:tcPr>
    </w:tblStylePr>
  </w:style>
  <w:style w:type="table" w:styleId="GridTable3-Accent4">
    <w:name w:val="Grid Table 3 Accent 4"/>
    <w:basedOn w:val="TableNormal"/>
    <w:uiPriority w:val="48"/>
    <w:rsid w:val="00A350E1"/>
    <w:pPr>
      <w:spacing w:after="0" w:line="240" w:lineRule="auto"/>
    </w:pPr>
    <w:rPr>
      <w:sz w:val="18"/>
    </w:rPr>
    <w:tblPr>
      <w:tblStyleRowBandSize w:val="1"/>
      <w:tblStyleColBandSize w:val="1"/>
      <w:tblBorders>
        <w:top w:val="single" w:sz="4" w:space="0" w:color="DDB5A9" w:themeColor="accent4" w:themeTint="99"/>
        <w:left w:val="single" w:sz="4" w:space="0" w:color="DDB5A9" w:themeColor="accent4" w:themeTint="99"/>
        <w:bottom w:val="single" w:sz="4" w:space="0" w:color="DDB5A9" w:themeColor="accent4" w:themeTint="99"/>
        <w:right w:val="single" w:sz="4" w:space="0" w:color="DDB5A9" w:themeColor="accent4" w:themeTint="99"/>
        <w:insideH w:val="single" w:sz="4" w:space="0" w:color="DDB5A9" w:themeColor="accent4" w:themeTint="99"/>
        <w:insideV w:val="single" w:sz="4" w:space="0" w:color="DDB5A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6E2" w:themeFill="accent4" w:themeFillTint="33"/>
      </w:tcPr>
    </w:tblStylePr>
    <w:tblStylePr w:type="band1Horz">
      <w:tblPr/>
      <w:tcPr>
        <w:shd w:val="clear" w:color="auto" w:fill="F3E6E2" w:themeFill="accent4" w:themeFillTint="33"/>
      </w:tcPr>
    </w:tblStylePr>
    <w:tblStylePr w:type="neCell">
      <w:tblPr/>
      <w:tcPr>
        <w:tcBorders>
          <w:bottom w:val="single" w:sz="4" w:space="0" w:color="DDB5A9" w:themeColor="accent4" w:themeTint="99"/>
        </w:tcBorders>
      </w:tcPr>
    </w:tblStylePr>
    <w:tblStylePr w:type="nwCell">
      <w:tblPr/>
      <w:tcPr>
        <w:tcBorders>
          <w:bottom w:val="single" w:sz="4" w:space="0" w:color="DDB5A9" w:themeColor="accent4" w:themeTint="99"/>
        </w:tcBorders>
      </w:tcPr>
    </w:tblStylePr>
    <w:tblStylePr w:type="seCell">
      <w:tblPr/>
      <w:tcPr>
        <w:tcBorders>
          <w:top w:val="single" w:sz="4" w:space="0" w:color="DDB5A9" w:themeColor="accent4" w:themeTint="99"/>
        </w:tcBorders>
      </w:tcPr>
    </w:tblStylePr>
    <w:tblStylePr w:type="swCell">
      <w:tblPr/>
      <w:tcPr>
        <w:tcBorders>
          <w:top w:val="single" w:sz="4" w:space="0" w:color="DDB5A9" w:themeColor="accent4" w:themeTint="99"/>
        </w:tcBorders>
      </w:tcPr>
    </w:tblStylePr>
  </w:style>
  <w:style w:type="table" w:styleId="GridTable4-Accent5">
    <w:name w:val="Grid Table 4 Accent 5"/>
    <w:basedOn w:val="TableNormal"/>
    <w:uiPriority w:val="49"/>
    <w:rsid w:val="00745914"/>
    <w:pPr>
      <w:spacing w:after="0" w:line="240" w:lineRule="auto"/>
    </w:pPr>
    <w:rPr>
      <w:sz w:val="18"/>
    </w:rPr>
    <w:tblPr>
      <w:tblStyleRowBandSize w:val="1"/>
      <w:tblStyleColBandSize w:val="1"/>
      <w:tblBorders>
        <w:top w:val="single" w:sz="4" w:space="0" w:color="B7AFAD" w:themeColor="accent5" w:themeTint="99"/>
        <w:left w:val="single" w:sz="4" w:space="0" w:color="B7AFAD" w:themeColor="accent5" w:themeTint="99"/>
        <w:bottom w:val="single" w:sz="4" w:space="0" w:color="B7AFAD" w:themeColor="accent5" w:themeTint="99"/>
        <w:right w:val="single" w:sz="4" w:space="0" w:color="B7AFAD" w:themeColor="accent5" w:themeTint="99"/>
        <w:insideH w:val="single" w:sz="4" w:space="0" w:color="B7AFAD" w:themeColor="accent5" w:themeTint="99"/>
        <w:insideV w:val="single" w:sz="4" w:space="0" w:color="B7AFAD" w:themeColor="accent5" w:themeTint="99"/>
      </w:tblBorders>
    </w:tblPr>
    <w:tblStylePr w:type="firstRow">
      <w:rPr>
        <w:b/>
        <w:bCs/>
        <w:color w:val="FFFFFF" w:themeColor="background1"/>
      </w:rPr>
      <w:tblPr/>
      <w:tcPr>
        <w:tcBorders>
          <w:top w:val="single" w:sz="4" w:space="0" w:color="877B77" w:themeColor="accent5"/>
          <w:left w:val="single" w:sz="4" w:space="0" w:color="877B77" w:themeColor="accent5"/>
          <w:bottom w:val="single" w:sz="4" w:space="0" w:color="877B77" w:themeColor="accent5"/>
          <w:right w:val="single" w:sz="4" w:space="0" w:color="877B77" w:themeColor="accent5"/>
          <w:insideH w:val="nil"/>
          <w:insideV w:val="nil"/>
        </w:tcBorders>
        <w:shd w:val="clear" w:color="auto" w:fill="877B77" w:themeFill="accent5"/>
      </w:tcPr>
    </w:tblStylePr>
    <w:tblStylePr w:type="lastRow">
      <w:rPr>
        <w:b/>
        <w:bCs/>
      </w:rPr>
      <w:tblPr/>
      <w:tcPr>
        <w:tcBorders>
          <w:top w:val="double" w:sz="4" w:space="0" w:color="877B77" w:themeColor="accent5"/>
        </w:tcBorders>
      </w:tcPr>
    </w:tblStylePr>
    <w:tblStylePr w:type="firstCol">
      <w:rPr>
        <w:b/>
        <w:bCs/>
      </w:rPr>
    </w:tblStylePr>
    <w:tblStylePr w:type="lastCol">
      <w:rPr>
        <w:b/>
        <w:bCs/>
      </w:rPr>
    </w:tblStylePr>
    <w:tblStylePr w:type="band1Vert">
      <w:tblPr/>
      <w:tcPr>
        <w:shd w:val="clear" w:color="auto" w:fill="E7E4E3" w:themeFill="accent5" w:themeFillTint="33"/>
      </w:tcPr>
    </w:tblStylePr>
    <w:tblStylePr w:type="band1Horz">
      <w:tblPr/>
      <w:tcPr>
        <w:shd w:val="clear" w:color="auto" w:fill="E7E4E3" w:themeFill="accent5" w:themeFillTint="33"/>
      </w:tcPr>
    </w:tblStylePr>
  </w:style>
  <w:style w:type="table" w:styleId="GridTable5Dark-Accent4">
    <w:name w:val="Grid Table 5 Dark Accent 4"/>
    <w:basedOn w:val="TableNormal"/>
    <w:uiPriority w:val="50"/>
    <w:rsid w:val="00745914"/>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E6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7857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7857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7857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78570" w:themeFill="accent4"/>
      </w:tcPr>
    </w:tblStylePr>
    <w:tblStylePr w:type="band1Vert">
      <w:tblPr/>
      <w:tcPr>
        <w:shd w:val="clear" w:color="auto" w:fill="E8CEC5" w:themeFill="accent4" w:themeFillTint="66"/>
      </w:tcPr>
    </w:tblStylePr>
    <w:tblStylePr w:type="band1Horz">
      <w:tblPr/>
      <w:tcPr>
        <w:shd w:val="clear" w:color="auto" w:fill="E8CEC5" w:themeFill="accent4" w:themeFillTint="66"/>
      </w:tcPr>
    </w:tblStylePr>
  </w:style>
  <w:style w:type="table" w:styleId="ListTable4-Accent4">
    <w:name w:val="List Table 4 Accent 4"/>
    <w:basedOn w:val="TableNormal"/>
    <w:uiPriority w:val="49"/>
    <w:rsid w:val="00B66C99"/>
    <w:pPr>
      <w:spacing w:after="0" w:line="240" w:lineRule="auto"/>
    </w:pPr>
    <w:rPr>
      <w:sz w:val="18"/>
    </w:rPr>
    <w:tblPr>
      <w:tblStyleRowBandSize w:val="1"/>
      <w:tblStyleColBandSize w:val="1"/>
      <w:tblBorders>
        <w:top w:val="single" w:sz="4" w:space="0" w:color="DDB5A9" w:themeColor="accent4" w:themeTint="99"/>
        <w:left w:val="single" w:sz="4" w:space="0" w:color="DDB5A9" w:themeColor="accent4" w:themeTint="99"/>
        <w:bottom w:val="single" w:sz="4" w:space="0" w:color="DDB5A9" w:themeColor="accent4" w:themeTint="99"/>
        <w:right w:val="single" w:sz="4" w:space="0" w:color="DDB5A9" w:themeColor="accent4" w:themeTint="99"/>
        <w:insideH w:val="single" w:sz="4" w:space="0" w:color="DDB5A9" w:themeColor="accent4" w:themeTint="99"/>
      </w:tblBorders>
    </w:tblPr>
    <w:tblStylePr w:type="firstRow">
      <w:rPr>
        <w:b/>
        <w:bCs/>
        <w:color w:val="FFFFFF" w:themeColor="background1"/>
      </w:rPr>
      <w:tblPr/>
      <w:tcPr>
        <w:tcBorders>
          <w:top w:val="single" w:sz="4" w:space="0" w:color="C78570" w:themeColor="accent4"/>
          <w:left w:val="single" w:sz="4" w:space="0" w:color="C78570" w:themeColor="accent4"/>
          <w:bottom w:val="single" w:sz="4" w:space="0" w:color="C78570" w:themeColor="accent4"/>
          <w:right w:val="single" w:sz="4" w:space="0" w:color="C78570" w:themeColor="accent4"/>
          <w:insideH w:val="nil"/>
        </w:tcBorders>
        <w:shd w:val="clear" w:color="auto" w:fill="C78570" w:themeFill="accent4"/>
      </w:tcPr>
    </w:tblStylePr>
    <w:tblStylePr w:type="lastRow">
      <w:rPr>
        <w:b/>
        <w:bCs/>
      </w:rPr>
      <w:tblPr/>
      <w:tcPr>
        <w:tcBorders>
          <w:top w:val="double" w:sz="4" w:space="0" w:color="DDB5A9" w:themeColor="accent4" w:themeTint="99"/>
        </w:tcBorders>
      </w:tcPr>
    </w:tblStylePr>
    <w:tblStylePr w:type="firstCol">
      <w:rPr>
        <w:b/>
        <w:bCs/>
      </w:rPr>
    </w:tblStylePr>
    <w:tblStylePr w:type="lastCol">
      <w:rPr>
        <w:b/>
        <w:bCs/>
      </w:rPr>
    </w:tblStylePr>
    <w:tblStylePr w:type="band1Vert">
      <w:tblPr/>
      <w:tcPr>
        <w:shd w:val="clear" w:color="auto" w:fill="F3E6E2" w:themeFill="accent4" w:themeFillTint="33"/>
      </w:tcPr>
    </w:tblStylePr>
    <w:tblStylePr w:type="band1Horz">
      <w:tblPr/>
      <w:tcPr>
        <w:shd w:val="clear" w:color="auto" w:fill="F3E6E2" w:themeFill="accent4" w:themeFillTint="33"/>
      </w:tcPr>
    </w:tblStylePr>
  </w:style>
  <w:style w:type="table" w:styleId="ListTable7Colorful-Accent3">
    <w:name w:val="List Table 7 Colorful Accent 3"/>
    <w:basedOn w:val="TableNormal"/>
    <w:uiPriority w:val="52"/>
    <w:rsid w:val="00B66C99"/>
    <w:pPr>
      <w:spacing w:after="0" w:line="240" w:lineRule="auto"/>
    </w:pPr>
    <w:rPr>
      <w:color w:val="843BFF" w:themeColor="accent3" w:themeShade="BF"/>
      <w:sz w:val="18"/>
    </w:rPr>
    <w:tblPr>
      <w:tblStyleRowBandSize w:val="1"/>
      <w:tblStyleColBandSize w:val="1"/>
    </w:tblPr>
    <w:tblStylePr w:type="firstRow">
      <w:rPr>
        <w:rFonts w:asciiTheme="majorHAnsi" w:eastAsiaTheme="majorEastAsia" w:hAnsiTheme="majorHAnsi" w:cstheme="majorBidi"/>
        <w:i/>
        <w:iCs/>
        <w:sz w:val="18"/>
      </w:rPr>
      <w:tblPr/>
      <w:tcPr>
        <w:tcBorders>
          <w:bottom w:val="single" w:sz="4" w:space="0" w:color="C7A5FF" w:themeColor="accent3"/>
        </w:tcBorders>
        <w:shd w:val="clear" w:color="auto" w:fill="FFFFFF" w:themeFill="background1"/>
      </w:tcPr>
    </w:tblStylePr>
    <w:tblStylePr w:type="lastRow">
      <w:rPr>
        <w:rFonts w:asciiTheme="majorHAnsi" w:eastAsiaTheme="majorEastAsia" w:hAnsiTheme="majorHAnsi" w:cstheme="majorBidi"/>
        <w:i/>
        <w:iCs/>
        <w:sz w:val="18"/>
      </w:rPr>
      <w:tblPr/>
      <w:tcPr>
        <w:tcBorders>
          <w:top w:val="single" w:sz="4" w:space="0" w:color="C7A5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18"/>
      </w:rPr>
      <w:tblPr/>
      <w:tcPr>
        <w:tcBorders>
          <w:right w:val="single" w:sz="4" w:space="0" w:color="C7A5FF" w:themeColor="accent3"/>
        </w:tcBorders>
        <w:shd w:val="clear" w:color="auto" w:fill="FFFFFF" w:themeFill="background1"/>
      </w:tcPr>
    </w:tblStylePr>
    <w:tblStylePr w:type="lastCol">
      <w:rPr>
        <w:rFonts w:asciiTheme="majorHAnsi" w:eastAsiaTheme="majorEastAsia" w:hAnsiTheme="majorHAnsi" w:cstheme="majorBidi"/>
        <w:i/>
        <w:iCs/>
        <w:sz w:val="18"/>
      </w:rPr>
      <w:tblPr/>
      <w:tcPr>
        <w:tcBorders>
          <w:left w:val="single" w:sz="4" w:space="0" w:color="C7A5FF" w:themeColor="accent3"/>
        </w:tcBorders>
        <w:shd w:val="clear" w:color="auto" w:fill="FFFFFF" w:themeFill="background1"/>
      </w:tcPr>
    </w:tblStylePr>
    <w:tblStylePr w:type="band1Vert">
      <w:tblPr/>
      <w:tcPr>
        <w:shd w:val="clear" w:color="auto" w:fill="F3EDFF" w:themeFill="accent3" w:themeFillTint="33"/>
      </w:tcPr>
    </w:tblStylePr>
    <w:tblStylePr w:type="band1Horz">
      <w:tblPr/>
      <w:tcPr>
        <w:shd w:val="clear" w:color="auto" w:fill="F3ED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66C99"/>
    <w:pPr>
      <w:spacing w:after="0" w:line="240" w:lineRule="auto"/>
    </w:pPr>
    <w:rPr>
      <w:color w:val="221334" w:themeColor="accent2" w:themeShade="BF"/>
      <w:sz w:val="18"/>
    </w:rPr>
    <w:tblPr>
      <w:tblStyleRowBandSize w:val="1"/>
      <w:tblStyleColBandSize w:val="1"/>
    </w:tblPr>
    <w:tblStylePr w:type="firstRow">
      <w:rPr>
        <w:rFonts w:asciiTheme="majorHAnsi" w:eastAsiaTheme="majorEastAsia" w:hAnsiTheme="majorHAnsi" w:cstheme="majorBidi"/>
        <w:i/>
        <w:iCs/>
        <w:sz w:val="18"/>
      </w:rPr>
      <w:tblPr/>
      <w:tcPr>
        <w:tcBorders>
          <w:bottom w:val="single" w:sz="4" w:space="0" w:color="2E1A47" w:themeColor="accent2"/>
        </w:tcBorders>
        <w:shd w:val="clear" w:color="auto" w:fill="FFFFFF" w:themeFill="background1"/>
      </w:tcPr>
    </w:tblStylePr>
    <w:tblStylePr w:type="lastRow">
      <w:rPr>
        <w:rFonts w:asciiTheme="majorHAnsi" w:eastAsiaTheme="majorEastAsia" w:hAnsiTheme="majorHAnsi" w:cstheme="majorBidi"/>
        <w:i/>
        <w:iCs/>
        <w:sz w:val="18"/>
      </w:rPr>
      <w:tblPr/>
      <w:tcPr>
        <w:tcBorders>
          <w:top w:val="single" w:sz="4" w:space="0" w:color="2E1A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18"/>
      </w:rPr>
      <w:tblPr/>
      <w:tcPr>
        <w:tcBorders>
          <w:right w:val="single" w:sz="4" w:space="0" w:color="2E1A47" w:themeColor="accent2"/>
        </w:tcBorders>
        <w:shd w:val="clear" w:color="auto" w:fill="FFFFFF" w:themeFill="background1"/>
      </w:tcPr>
    </w:tblStylePr>
    <w:tblStylePr w:type="lastCol">
      <w:rPr>
        <w:rFonts w:asciiTheme="majorHAnsi" w:eastAsiaTheme="majorEastAsia" w:hAnsiTheme="majorHAnsi" w:cstheme="majorBidi"/>
        <w:i/>
        <w:iCs/>
        <w:sz w:val="18"/>
      </w:rPr>
      <w:tblPr/>
      <w:tcPr>
        <w:tcBorders>
          <w:left w:val="single" w:sz="4" w:space="0" w:color="2E1A47" w:themeColor="accent2"/>
        </w:tcBorders>
        <w:shd w:val="clear" w:color="auto" w:fill="FFFFFF" w:themeFill="background1"/>
      </w:tcPr>
    </w:tblStylePr>
    <w:tblStylePr w:type="band1Vert">
      <w:tblPr/>
      <w:tcPr>
        <w:shd w:val="clear" w:color="auto" w:fill="D3C2E8" w:themeFill="accent2" w:themeFillTint="33"/>
      </w:tcPr>
    </w:tblStylePr>
    <w:tblStylePr w:type="band1Horz">
      <w:tblPr/>
      <w:tcPr>
        <w:shd w:val="clear" w:color="auto" w:fill="D3C2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66C99"/>
    <w:pPr>
      <w:spacing w:after="0" w:line="240" w:lineRule="auto"/>
    </w:pPr>
    <w:rPr>
      <w:color w:val="5B3161" w:themeColor="accent1" w:themeShade="BF"/>
      <w:sz w:val="18"/>
    </w:rPr>
    <w:tblPr>
      <w:tblStyleRowBandSize w:val="1"/>
      <w:tblStyleColBandSize w:val="1"/>
    </w:tblPr>
    <w:tblStylePr w:type="firstRow">
      <w:rPr>
        <w:rFonts w:asciiTheme="majorHAnsi" w:eastAsiaTheme="majorEastAsia" w:hAnsiTheme="majorHAnsi" w:cstheme="majorBidi"/>
        <w:i/>
        <w:iCs/>
        <w:sz w:val="18"/>
      </w:rPr>
      <w:tblPr/>
      <w:tcPr>
        <w:tcBorders>
          <w:bottom w:val="single" w:sz="4" w:space="0" w:color="7A4282" w:themeColor="accent1"/>
        </w:tcBorders>
        <w:shd w:val="clear" w:color="auto" w:fill="FFFFFF" w:themeFill="background1"/>
      </w:tcPr>
    </w:tblStylePr>
    <w:tblStylePr w:type="lastRow">
      <w:rPr>
        <w:rFonts w:asciiTheme="majorHAnsi" w:eastAsiaTheme="majorEastAsia" w:hAnsiTheme="majorHAnsi" w:cstheme="majorBidi"/>
        <w:i/>
        <w:iCs/>
        <w:sz w:val="18"/>
      </w:rPr>
      <w:tblPr/>
      <w:tcPr>
        <w:tcBorders>
          <w:top w:val="single" w:sz="4" w:space="0" w:color="7A42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18"/>
      </w:rPr>
      <w:tblPr/>
      <w:tcPr>
        <w:tcBorders>
          <w:right w:val="single" w:sz="4" w:space="0" w:color="7A4282" w:themeColor="accent1"/>
        </w:tcBorders>
        <w:shd w:val="clear" w:color="auto" w:fill="FFFFFF" w:themeFill="background1"/>
      </w:tcPr>
    </w:tblStylePr>
    <w:tblStylePr w:type="lastCol">
      <w:rPr>
        <w:rFonts w:asciiTheme="majorHAnsi" w:eastAsiaTheme="majorEastAsia" w:hAnsiTheme="majorHAnsi" w:cstheme="majorBidi"/>
        <w:i/>
        <w:iCs/>
        <w:sz w:val="18"/>
      </w:rPr>
      <w:tblPr/>
      <w:tcPr>
        <w:tcBorders>
          <w:left w:val="single" w:sz="4" w:space="0" w:color="7A4282" w:themeColor="accent1"/>
        </w:tcBorders>
        <w:shd w:val="clear" w:color="auto" w:fill="FFFFFF" w:themeFill="background1"/>
      </w:tcPr>
    </w:tblStylePr>
    <w:tblStylePr w:type="band1Vert">
      <w:tblPr/>
      <w:tcPr>
        <w:shd w:val="clear" w:color="auto" w:fill="E7D5E9" w:themeFill="accent1" w:themeFillTint="33"/>
      </w:tcPr>
    </w:tblStylePr>
    <w:tblStylePr w:type="band1Horz">
      <w:tblPr/>
      <w:tcPr>
        <w:shd w:val="clear" w:color="auto" w:fill="E7D5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B66C99"/>
    <w:pPr>
      <w:spacing w:after="0" w:line="240" w:lineRule="auto"/>
    </w:pPr>
    <w:rPr>
      <w:color w:val="000000" w:themeColor="text1"/>
      <w:sz w:val="18"/>
    </w:rPr>
    <w:tblPr>
      <w:tblStyleRowBandSize w:val="1"/>
      <w:tblStyleColBandSize w:val="1"/>
    </w:tblPr>
    <w:tblStylePr w:type="firstRow">
      <w:rPr>
        <w:rFonts w:asciiTheme="majorHAnsi" w:eastAsiaTheme="majorEastAsia" w:hAnsiTheme="majorHAnsi" w:cstheme="majorBidi"/>
        <w:i/>
        <w:iCs/>
        <w:sz w:val="18"/>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18"/>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18"/>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18"/>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5">
    <w:name w:val="List Table 5 Dark Accent 5"/>
    <w:basedOn w:val="TableNormal"/>
    <w:uiPriority w:val="50"/>
    <w:rsid w:val="00B66C99"/>
    <w:pPr>
      <w:spacing w:after="0" w:line="240" w:lineRule="auto"/>
    </w:pPr>
    <w:rPr>
      <w:color w:val="FFFFFF" w:themeColor="background1"/>
      <w:sz w:val="18"/>
    </w:rPr>
    <w:tblPr>
      <w:tblStyleRowBandSize w:val="1"/>
      <w:tblStyleColBandSize w:val="1"/>
      <w:tblBorders>
        <w:top w:val="single" w:sz="24" w:space="0" w:color="877B77" w:themeColor="accent5"/>
        <w:left w:val="single" w:sz="24" w:space="0" w:color="877B77" w:themeColor="accent5"/>
        <w:bottom w:val="single" w:sz="24" w:space="0" w:color="877B77" w:themeColor="accent5"/>
        <w:right w:val="single" w:sz="24" w:space="0" w:color="877B77" w:themeColor="accent5"/>
      </w:tblBorders>
    </w:tblPr>
    <w:tcPr>
      <w:shd w:val="clear" w:color="auto" w:fill="877B7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66C99"/>
    <w:pPr>
      <w:spacing w:after="0" w:line="240" w:lineRule="auto"/>
    </w:pPr>
    <w:rPr>
      <w:color w:val="FFFFFF" w:themeColor="background1"/>
      <w:sz w:val="18"/>
    </w:rPr>
    <w:tblPr>
      <w:tblStyleRowBandSize w:val="1"/>
      <w:tblStyleColBandSize w:val="1"/>
      <w:tblBorders>
        <w:top w:val="single" w:sz="24" w:space="0" w:color="C78570" w:themeColor="accent4"/>
        <w:left w:val="single" w:sz="24" w:space="0" w:color="C78570" w:themeColor="accent4"/>
        <w:bottom w:val="single" w:sz="24" w:space="0" w:color="C78570" w:themeColor="accent4"/>
        <w:right w:val="single" w:sz="24" w:space="0" w:color="C78570" w:themeColor="accent4"/>
      </w:tblBorders>
    </w:tblPr>
    <w:tcPr>
      <w:shd w:val="clear" w:color="auto" w:fill="C7857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66C99"/>
    <w:pPr>
      <w:spacing w:after="0" w:line="240" w:lineRule="auto"/>
    </w:pPr>
    <w:rPr>
      <w:color w:val="FFFFFF" w:themeColor="background1"/>
      <w:sz w:val="18"/>
    </w:rPr>
    <w:tblPr>
      <w:tblStyleRowBandSize w:val="1"/>
      <w:tblStyleColBandSize w:val="1"/>
      <w:tblBorders>
        <w:top w:val="single" w:sz="24" w:space="0" w:color="C7A5FF" w:themeColor="accent3"/>
        <w:left w:val="single" w:sz="24" w:space="0" w:color="C7A5FF" w:themeColor="accent3"/>
        <w:bottom w:val="single" w:sz="24" w:space="0" w:color="C7A5FF" w:themeColor="accent3"/>
        <w:right w:val="single" w:sz="24" w:space="0" w:color="C7A5FF" w:themeColor="accent3"/>
      </w:tblBorders>
    </w:tblPr>
    <w:tcPr>
      <w:shd w:val="clear" w:color="auto" w:fill="C7A5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66C99"/>
    <w:pPr>
      <w:spacing w:after="0" w:line="240" w:lineRule="auto"/>
    </w:pPr>
    <w:rPr>
      <w:color w:val="FFFFFF" w:themeColor="background1"/>
      <w:sz w:val="18"/>
    </w:rPr>
    <w:tblPr>
      <w:tblStyleRowBandSize w:val="1"/>
      <w:tblStyleColBandSize w:val="1"/>
      <w:tblBorders>
        <w:top w:val="single" w:sz="24" w:space="0" w:color="2E1A47" w:themeColor="accent2"/>
        <w:left w:val="single" w:sz="24" w:space="0" w:color="2E1A47" w:themeColor="accent2"/>
        <w:bottom w:val="single" w:sz="24" w:space="0" w:color="2E1A47" w:themeColor="accent2"/>
        <w:right w:val="single" w:sz="24" w:space="0" w:color="2E1A47" w:themeColor="accent2"/>
      </w:tblBorders>
    </w:tblPr>
    <w:tcPr>
      <w:shd w:val="clear" w:color="auto" w:fill="2E1A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66C99"/>
    <w:pPr>
      <w:spacing w:after="0" w:line="240" w:lineRule="auto"/>
    </w:pPr>
    <w:rPr>
      <w:color w:val="FFFFFF" w:themeColor="background1"/>
      <w:sz w:val="18"/>
    </w:rPr>
    <w:tblPr>
      <w:tblStyleRowBandSize w:val="1"/>
      <w:tblStyleColBandSize w:val="1"/>
      <w:tblBorders>
        <w:top w:val="single" w:sz="24" w:space="0" w:color="7A4282" w:themeColor="accent1"/>
        <w:left w:val="single" w:sz="24" w:space="0" w:color="7A4282" w:themeColor="accent1"/>
        <w:bottom w:val="single" w:sz="24" w:space="0" w:color="7A4282" w:themeColor="accent1"/>
        <w:right w:val="single" w:sz="24" w:space="0" w:color="7A4282" w:themeColor="accent1"/>
      </w:tblBorders>
    </w:tblPr>
    <w:tcPr>
      <w:shd w:val="clear" w:color="auto" w:fill="7A42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B66C99"/>
    <w:pPr>
      <w:spacing w:after="0" w:line="240" w:lineRule="auto"/>
    </w:pPr>
    <w:rPr>
      <w:color w:val="FFFFFF" w:themeColor="background1"/>
      <w:sz w:val="18"/>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B66C99"/>
    <w:pPr>
      <w:spacing w:after="0" w:line="240" w:lineRule="auto"/>
    </w:pPr>
    <w:rPr>
      <w:sz w:val="18"/>
    </w:rPr>
    <w:tblPr>
      <w:tblStyleRowBandSize w:val="1"/>
      <w:tblStyleColBandSize w:val="1"/>
      <w:tblBorders>
        <w:top w:val="single" w:sz="4" w:space="0" w:color="B7AFAD" w:themeColor="accent5" w:themeTint="99"/>
        <w:left w:val="single" w:sz="4" w:space="0" w:color="B7AFAD" w:themeColor="accent5" w:themeTint="99"/>
        <w:bottom w:val="single" w:sz="4" w:space="0" w:color="B7AFAD" w:themeColor="accent5" w:themeTint="99"/>
        <w:right w:val="single" w:sz="4" w:space="0" w:color="B7AFAD" w:themeColor="accent5" w:themeTint="99"/>
        <w:insideH w:val="single" w:sz="4" w:space="0" w:color="B7AFAD" w:themeColor="accent5" w:themeTint="99"/>
      </w:tblBorders>
    </w:tblPr>
    <w:tblStylePr w:type="firstRow">
      <w:rPr>
        <w:b/>
        <w:bCs/>
        <w:color w:val="FFFFFF" w:themeColor="background1"/>
      </w:rPr>
      <w:tblPr/>
      <w:tcPr>
        <w:tcBorders>
          <w:top w:val="single" w:sz="4" w:space="0" w:color="877B77" w:themeColor="accent5"/>
          <w:left w:val="single" w:sz="4" w:space="0" w:color="877B77" w:themeColor="accent5"/>
          <w:bottom w:val="single" w:sz="4" w:space="0" w:color="877B77" w:themeColor="accent5"/>
          <w:right w:val="single" w:sz="4" w:space="0" w:color="877B77" w:themeColor="accent5"/>
          <w:insideH w:val="nil"/>
        </w:tcBorders>
        <w:shd w:val="clear" w:color="auto" w:fill="877B77" w:themeFill="accent5"/>
      </w:tcPr>
    </w:tblStylePr>
    <w:tblStylePr w:type="lastRow">
      <w:rPr>
        <w:b/>
        <w:bCs/>
      </w:rPr>
      <w:tblPr/>
      <w:tcPr>
        <w:tcBorders>
          <w:top w:val="double" w:sz="4" w:space="0" w:color="B7AFAD" w:themeColor="accent5" w:themeTint="99"/>
        </w:tcBorders>
      </w:tcPr>
    </w:tblStylePr>
    <w:tblStylePr w:type="firstCol">
      <w:rPr>
        <w:b/>
        <w:bCs/>
      </w:rPr>
    </w:tblStylePr>
    <w:tblStylePr w:type="lastCol">
      <w:rPr>
        <w:b/>
        <w:bCs/>
      </w:rPr>
    </w:tblStylePr>
    <w:tblStylePr w:type="band1Vert">
      <w:tblPr/>
      <w:tcPr>
        <w:shd w:val="clear" w:color="auto" w:fill="E7E4E3" w:themeFill="accent5" w:themeFillTint="33"/>
      </w:tcPr>
    </w:tblStylePr>
    <w:tblStylePr w:type="band1Horz">
      <w:tblPr/>
      <w:tcPr>
        <w:shd w:val="clear" w:color="auto" w:fill="E7E4E3" w:themeFill="accent5" w:themeFillTint="33"/>
      </w:tcPr>
    </w:tblStylePr>
  </w:style>
  <w:style w:type="table" w:styleId="ListTable4-Accent3">
    <w:name w:val="List Table 4 Accent 3"/>
    <w:basedOn w:val="TableNormal"/>
    <w:uiPriority w:val="49"/>
    <w:rsid w:val="00B66C99"/>
    <w:pPr>
      <w:spacing w:after="0" w:line="240" w:lineRule="auto"/>
    </w:pPr>
    <w:rPr>
      <w:sz w:val="18"/>
    </w:rPr>
    <w:tblPr>
      <w:tblStyleRowBandSize w:val="1"/>
      <w:tblStyleColBandSize w:val="1"/>
      <w:tblBorders>
        <w:top w:val="single" w:sz="4" w:space="0" w:color="DDC9FF" w:themeColor="accent3" w:themeTint="99"/>
        <w:left w:val="single" w:sz="4" w:space="0" w:color="DDC9FF" w:themeColor="accent3" w:themeTint="99"/>
        <w:bottom w:val="single" w:sz="4" w:space="0" w:color="DDC9FF" w:themeColor="accent3" w:themeTint="99"/>
        <w:right w:val="single" w:sz="4" w:space="0" w:color="DDC9FF" w:themeColor="accent3" w:themeTint="99"/>
        <w:insideH w:val="single" w:sz="4" w:space="0" w:color="DDC9FF" w:themeColor="accent3" w:themeTint="99"/>
      </w:tblBorders>
    </w:tblPr>
    <w:tblStylePr w:type="firstRow">
      <w:rPr>
        <w:b/>
        <w:bCs/>
        <w:color w:val="FFFFFF" w:themeColor="background1"/>
      </w:rPr>
      <w:tblPr/>
      <w:tcPr>
        <w:tcBorders>
          <w:top w:val="single" w:sz="4" w:space="0" w:color="C7A5FF" w:themeColor="accent3"/>
          <w:left w:val="single" w:sz="4" w:space="0" w:color="C7A5FF" w:themeColor="accent3"/>
          <w:bottom w:val="single" w:sz="4" w:space="0" w:color="C7A5FF" w:themeColor="accent3"/>
          <w:right w:val="single" w:sz="4" w:space="0" w:color="C7A5FF" w:themeColor="accent3"/>
          <w:insideH w:val="nil"/>
        </w:tcBorders>
        <w:shd w:val="clear" w:color="auto" w:fill="C7A5FF" w:themeFill="accent3"/>
      </w:tcPr>
    </w:tblStylePr>
    <w:tblStylePr w:type="lastRow">
      <w:rPr>
        <w:b/>
        <w:bCs/>
      </w:rPr>
      <w:tblPr/>
      <w:tcPr>
        <w:tcBorders>
          <w:top w:val="double" w:sz="4" w:space="0" w:color="DDC9FF" w:themeColor="accent3" w:themeTint="99"/>
        </w:tcBorders>
      </w:tcPr>
    </w:tblStylePr>
    <w:tblStylePr w:type="firstCol">
      <w:rPr>
        <w:b/>
        <w:bCs/>
      </w:rPr>
    </w:tblStylePr>
    <w:tblStylePr w:type="lastCol">
      <w:rPr>
        <w:b/>
        <w:bCs/>
      </w:rPr>
    </w:tblStylePr>
    <w:tblStylePr w:type="band1Vert">
      <w:tblPr/>
      <w:tcPr>
        <w:shd w:val="clear" w:color="auto" w:fill="F3EDFF" w:themeFill="accent3" w:themeFillTint="33"/>
      </w:tcPr>
    </w:tblStylePr>
    <w:tblStylePr w:type="band1Horz">
      <w:tblPr/>
      <w:tcPr>
        <w:shd w:val="clear" w:color="auto" w:fill="F3EDFF" w:themeFill="accent3" w:themeFillTint="33"/>
      </w:tcPr>
    </w:tblStylePr>
  </w:style>
  <w:style w:type="table" w:styleId="ListTable4-Accent2">
    <w:name w:val="List Table 4 Accent 2"/>
    <w:basedOn w:val="TableNormal"/>
    <w:uiPriority w:val="49"/>
    <w:rsid w:val="00B66C99"/>
    <w:pPr>
      <w:spacing w:after="0" w:line="240" w:lineRule="auto"/>
    </w:pPr>
    <w:rPr>
      <w:sz w:val="18"/>
    </w:rPr>
    <w:tblPr>
      <w:tblStyleRowBandSize w:val="1"/>
      <w:tblStyleColBandSize w:val="1"/>
      <w:tblBorders>
        <w:top w:val="single" w:sz="4" w:space="0" w:color="7C49BC" w:themeColor="accent2" w:themeTint="99"/>
        <w:left w:val="single" w:sz="4" w:space="0" w:color="7C49BC" w:themeColor="accent2" w:themeTint="99"/>
        <w:bottom w:val="single" w:sz="4" w:space="0" w:color="7C49BC" w:themeColor="accent2" w:themeTint="99"/>
        <w:right w:val="single" w:sz="4" w:space="0" w:color="7C49BC" w:themeColor="accent2" w:themeTint="99"/>
        <w:insideH w:val="single" w:sz="4" w:space="0" w:color="7C49BC" w:themeColor="accent2" w:themeTint="99"/>
      </w:tblBorders>
    </w:tblPr>
    <w:tblStylePr w:type="firstRow">
      <w:rPr>
        <w:b/>
        <w:bCs/>
        <w:color w:val="FFFFFF" w:themeColor="background1"/>
      </w:rPr>
      <w:tblPr/>
      <w:tcPr>
        <w:tcBorders>
          <w:top w:val="single" w:sz="4" w:space="0" w:color="2E1A47" w:themeColor="accent2"/>
          <w:left w:val="single" w:sz="4" w:space="0" w:color="2E1A47" w:themeColor="accent2"/>
          <w:bottom w:val="single" w:sz="4" w:space="0" w:color="2E1A47" w:themeColor="accent2"/>
          <w:right w:val="single" w:sz="4" w:space="0" w:color="2E1A47" w:themeColor="accent2"/>
          <w:insideH w:val="nil"/>
        </w:tcBorders>
        <w:shd w:val="clear" w:color="auto" w:fill="2E1A47" w:themeFill="accent2"/>
      </w:tcPr>
    </w:tblStylePr>
    <w:tblStylePr w:type="lastRow">
      <w:rPr>
        <w:b/>
        <w:bCs/>
      </w:rPr>
      <w:tblPr/>
      <w:tcPr>
        <w:tcBorders>
          <w:top w:val="double" w:sz="4" w:space="0" w:color="7C49BC" w:themeColor="accent2" w:themeTint="99"/>
        </w:tcBorders>
      </w:tcPr>
    </w:tblStylePr>
    <w:tblStylePr w:type="firstCol">
      <w:rPr>
        <w:b/>
        <w:bCs/>
      </w:rPr>
    </w:tblStylePr>
    <w:tblStylePr w:type="lastCol">
      <w:rPr>
        <w:b/>
        <w:bCs/>
      </w:rPr>
    </w:tblStylePr>
    <w:tblStylePr w:type="band1Vert">
      <w:tblPr/>
      <w:tcPr>
        <w:shd w:val="clear" w:color="auto" w:fill="D3C2E8" w:themeFill="accent2" w:themeFillTint="33"/>
      </w:tcPr>
    </w:tblStylePr>
    <w:tblStylePr w:type="band1Horz">
      <w:tblPr/>
      <w:tcPr>
        <w:shd w:val="clear" w:color="auto" w:fill="D3C2E8" w:themeFill="accent2" w:themeFillTint="33"/>
      </w:tcPr>
    </w:tblStylePr>
  </w:style>
  <w:style w:type="table" w:styleId="ListTable4-Accent1">
    <w:name w:val="List Table 4 Accent 1"/>
    <w:basedOn w:val="TableNormal"/>
    <w:uiPriority w:val="49"/>
    <w:rsid w:val="00B66C99"/>
    <w:pPr>
      <w:spacing w:after="0" w:line="240" w:lineRule="auto"/>
    </w:pPr>
    <w:rPr>
      <w:sz w:val="18"/>
    </w:rPr>
    <w:tblPr>
      <w:tblStyleRowBandSize w:val="1"/>
      <w:tblStyleColBandSize w:val="1"/>
      <w:tblBorders>
        <w:top w:val="single" w:sz="4" w:space="0" w:color="B781BF" w:themeColor="accent1" w:themeTint="99"/>
        <w:left w:val="single" w:sz="4" w:space="0" w:color="B781BF" w:themeColor="accent1" w:themeTint="99"/>
        <w:bottom w:val="single" w:sz="4" w:space="0" w:color="B781BF" w:themeColor="accent1" w:themeTint="99"/>
        <w:right w:val="single" w:sz="4" w:space="0" w:color="B781BF" w:themeColor="accent1" w:themeTint="99"/>
        <w:insideH w:val="single" w:sz="4" w:space="0" w:color="B781BF" w:themeColor="accent1" w:themeTint="99"/>
      </w:tblBorders>
    </w:tblPr>
    <w:tblStylePr w:type="firstRow">
      <w:rPr>
        <w:b/>
        <w:bCs/>
        <w:color w:val="FFFFFF" w:themeColor="background1"/>
      </w:rPr>
      <w:tblPr/>
      <w:tcPr>
        <w:tcBorders>
          <w:top w:val="single" w:sz="4" w:space="0" w:color="7A4282" w:themeColor="accent1"/>
          <w:left w:val="single" w:sz="4" w:space="0" w:color="7A4282" w:themeColor="accent1"/>
          <w:bottom w:val="single" w:sz="4" w:space="0" w:color="7A4282" w:themeColor="accent1"/>
          <w:right w:val="single" w:sz="4" w:space="0" w:color="7A4282" w:themeColor="accent1"/>
          <w:insideH w:val="nil"/>
        </w:tcBorders>
        <w:shd w:val="clear" w:color="auto" w:fill="7A4282" w:themeFill="accent1"/>
      </w:tcPr>
    </w:tblStylePr>
    <w:tblStylePr w:type="lastRow">
      <w:rPr>
        <w:b/>
        <w:bCs/>
      </w:rPr>
      <w:tblPr/>
      <w:tcPr>
        <w:tcBorders>
          <w:top w:val="double" w:sz="4" w:space="0" w:color="B781BF" w:themeColor="accent1" w:themeTint="99"/>
        </w:tcBorders>
      </w:tcPr>
    </w:tblStylePr>
    <w:tblStylePr w:type="firstCol">
      <w:rPr>
        <w:b/>
        <w:bCs/>
      </w:rPr>
    </w:tblStylePr>
    <w:tblStylePr w:type="lastCol">
      <w:rPr>
        <w:b/>
        <w:bCs/>
      </w:rPr>
    </w:tblStylePr>
    <w:tblStylePr w:type="band1Vert">
      <w:tblPr/>
      <w:tcPr>
        <w:shd w:val="clear" w:color="auto" w:fill="E7D5E9" w:themeFill="accent1" w:themeFillTint="33"/>
      </w:tcPr>
    </w:tblStylePr>
    <w:tblStylePr w:type="band1Horz">
      <w:tblPr/>
      <w:tcPr>
        <w:shd w:val="clear" w:color="auto" w:fill="E7D5E9" w:themeFill="accent1" w:themeFillTint="33"/>
      </w:tcPr>
    </w:tblStylePr>
  </w:style>
  <w:style w:type="table" w:styleId="ListTable4">
    <w:name w:val="List Table 4"/>
    <w:basedOn w:val="TableNormal"/>
    <w:uiPriority w:val="49"/>
    <w:rsid w:val="00B66C99"/>
    <w:pPr>
      <w:spacing w:after="0" w:line="240" w:lineRule="auto"/>
    </w:pPr>
    <w:rPr>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5">
    <w:name w:val="List Table 2 Accent 5"/>
    <w:basedOn w:val="TableNormal"/>
    <w:uiPriority w:val="47"/>
    <w:rsid w:val="00B66C99"/>
    <w:pPr>
      <w:spacing w:after="0" w:line="240" w:lineRule="auto"/>
    </w:pPr>
    <w:rPr>
      <w:sz w:val="18"/>
    </w:rPr>
    <w:tblPr>
      <w:tblStyleRowBandSize w:val="1"/>
      <w:tblStyleColBandSize w:val="1"/>
      <w:tblBorders>
        <w:top w:val="single" w:sz="4" w:space="0" w:color="B7AFAD" w:themeColor="accent5" w:themeTint="99"/>
        <w:bottom w:val="single" w:sz="4" w:space="0" w:color="B7AFAD" w:themeColor="accent5" w:themeTint="99"/>
        <w:insideH w:val="single" w:sz="4" w:space="0" w:color="B7AFA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4E3" w:themeFill="accent5" w:themeFillTint="33"/>
      </w:tcPr>
    </w:tblStylePr>
    <w:tblStylePr w:type="band1Horz">
      <w:tblPr/>
      <w:tcPr>
        <w:shd w:val="clear" w:color="auto" w:fill="E7E4E3" w:themeFill="accent5" w:themeFillTint="33"/>
      </w:tcPr>
    </w:tblStylePr>
  </w:style>
  <w:style w:type="table" w:styleId="ListTable2-Accent4">
    <w:name w:val="List Table 2 Accent 4"/>
    <w:basedOn w:val="TableNormal"/>
    <w:uiPriority w:val="47"/>
    <w:rsid w:val="00B66C99"/>
    <w:pPr>
      <w:spacing w:after="0" w:line="240" w:lineRule="auto"/>
    </w:pPr>
    <w:rPr>
      <w:sz w:val="18"/>
    </w:rPr>
    <w:tblPr>
      <w:tblStyleRowBandSize w:val="1"/>
      <w:tblStyleColBandSize w:val="1"/>
      <w:tblBorders>
        <w:top w:val="single" w:sz="4" w:space="0" w:color="DDB5A9" w:themeColor="accent4" w:themeTint="99"/>
        <w:bottom w:val="single" w:sz="4" w:space="0" w:color="DDB5A9" w:themeColor="accent4" w:themeTint="99"/>
        <w:insideH w:val="single" w:sz="4" w:space="0" w:color="DDB5A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E6E2" w:themeFill="accent4" w:themeFillTint="33"/>
      </w:tcPr>
    </w:tblStylePr>
    <w:tblStylePr w:type="band1Horz">
      <w:tblPr/>
      <w:tcPr>
        <w:shd w:val="clear" w:color="auto" w:fill="F3E6E2" w:themeFill="accent4" w:themeFillTint="33"/>
      </w:tcPr>
    </w:tblStylePr>
  </w:style>
  <w:style w:type="table" w:styleId="ListTable2-Accent3">
    <w:name w:val="List Table 2 Accent 3"/>
    <w:basedOn w:val="TableNormal"/>
    <w:uiPriority w:val="47"/>
    <w:rsid w:val="00B66C99"/>
    <w:pPr>
      <w:spacing w:after="0" w:line="240" w:lineRule="auto"/>
    </w:pPr>
    <w:rPr>
      <w:sz w:val="18"/>
    </w:rPr>
    <w:tblPr>
      <w:tblStyleRowBandSize w:val="1"/>
      <w:tblStyleColBandSize w:val="1"/>
      <w:tblBorders>
        <w:top w:val="single" w:sz="4" w:space="0" w:color="DDC9FF" w:themeColor="accent3" w:themeTint="99"/>
        <w:bottom w:val="single" w:sz="4" w:space="0" w:color="DDC9FF" w:themeColor="accent3" w:themeTint="99"/>
        <w:insideH w:val="single" w:sz="4" w:space="0" w:color="DDC9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EDFF" w:themeFill="accent3" w:themeFillTint="33"/>
      </w:tcPr>
    </w:tblStylePr>
    <w:tblStylePr w:type="band1Horz">
      <w:tblPr/>
      <w:tcPr>
        <w:shd w:val="clear" w:color="auto" w:fill="F3EDFF" w:themeFill="accent3" w:themeFillTint="33"/>
      </w:tcPr>
    </w:tblStylePr>
  </w:style>
  <w:style w:type="table" w:styleId="ListTable2-Accent2">
    <w:name w:val="List Table 2 Accent 2"/>
    <w:basedOn w:val="TableNormal"/>
    <w:uiPriority w:val="47"/>
    <w:rsid w:val="00B66C99"/>
    <w:pPr>
      <w:spacing w:after="0" w:line="240" w:lineRule="auto"/>
    </w:pPr>
    <w:rPr>
      <w:sz w:val="18"/>
    </w:rPr>
    <w:tblPr>
      <w:tblStyleRowBandSize w:val="1"/>
      <w:tblStyleColBandSize w:val="1"/>
      <w:tblBorders>
        <w:top w:val="single" w:sz="4" w:space="0" w:color="7C49BC" w:themeColor="accent2" w:themeTint="99"/>
        <w:bottom w:val="single" w:sz="4" w:space="0" w:color="7C49BC" w:themeColor="accent2" w:themeTint="99"/>
        <w:insideH w:val="single" w:sz="4" w:space="0" w:color="7C49B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C2E8" w:themeFill="accent2" w:themeFillTint="33"/>
      </w:tcPr>
    </w:tblStylePr>
    <w:tblStylePr w:type="band1Horz">
      <w:tblPr/>
      <w:tcPr>
        <w:shd w:val="clear" w:color="auto" w:fill="D3C2E8" w:themeFill="accent2" w:themeFillTint="33"/>
      </w:tcPr>
    </w:tblStylePr>
  </w:style>
  <w:style w:type="table" w:styleId="ListTable2-Accent1">
    <w:name w:val="List Table 2 Accent 1"/>
    <w:basedOn w:val="TableNormal"/>
    <w:uiPriority w:val="47"/>
    <w:rsid w:val="00B66C99"/>
    <w:pPr>
      <w:spacing w:after="0" w:line="240" w:lineRule="auto"/>
    </w:pPr>
    <w:rPr>
      <w:sz w:val="18"/>
    </w:rPr>
    <w:tblPr>
      <w:tblStyleRowBandSize w:val="1"/>
      <w:tblStyleColBandSize w:val="1"/>
      <w:tblBorders>
        <w:top w:val="single" w:sz="4" w:space="0" w:color="B781BF" w:themeColor="accent1" w:themeTint="99"/>
        <w:bottom w:val="single" w:sz="4" w:space="0" w:color="B781BF" w:themeColor="accent1" w:themeTint="99"/>
        <w:insideH w:val="single" w:sz="4" w:space="0" w:color="B781B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5E9" w:themeFill="accent1" w:themeFillTint="33"/>
      </w:tcPr>
    </w:tblStylePr>
    <w:tblStylePr w:type="band1Horz">
      <w:tblPr/>
      <w:tcPr>
        <w:shd w:val="clear" w:color="auto" w:fill="E7D5E9" w:themeFill="accent1" w:themeFillTint="33"/>
      </w:tcPr>
    </w:tblStylePr>
  </w:style>
  <w:style w:type="table" w:styleId="ListTable2">
    <w:name w:val="List Table 2"/>
    <w:basedOn w:val="TableNormal"/>
    <w:uiPriority w:val="47"/>
    <w:rsid w:val="00B66C99"/>
    <w:pPr>
      <w:spacing w:after="0" w:line="240" w:lineRule="auto"/>
    </w:pPr>
    <w:rPr>
      <w:sz w:val="1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5">
    <w:name w:val="List Table 1 Light Accent 5"/>
    <w:basedOn w:val="TableNormal"/>
    <w:uiPriority w:val="46"/>
    <w:rsid w:val="00B66C99"/>
    <w:pPr>
      <w:spacing w:after="0" w:line="240" w:lineRule="auto"/>
    </w:pPr>
    <w:rPr>
      <w:sz w:val="18"/>
    </w:rPr>
    <w:tblPr>
      <w:tblStyleRowBandSize w:val="1"/>
      <w:tblStyleColBandSize w:val="1"/>
    </w:tblPr>
    <w:tblStylePr w:type="firstRow">
      <w:rPr>
        <w:b/>
        <w:bCs/>
      </w:rPr>
      <w:tblPr/>
      <w:tcPr>
        <w:tcBorders>
          <w:bottom w:val="single" w:sz="4" w:space="0" w:color="B7AFAD" w:themeColor="accent5" w:themeTint="99"/>
        </w:tcBorders>
      </w:tcPr>
    </w:tblStylePr>
    <w:tblStylePr w:type="lastRow">
      <w:rPr>
        <w:b/>
        <w:bCs/>
      </w:rPr>
      <w:tblPr/>
      <w:tcPr>
        <w:tcBorders>
          <w:top w:val="single" w:sz="4" w:space="0" w:color="B7AFAD" w:themeColor="accent5" w:themeTint="99"/>
        </w:tcBorders>
      </w:tcPr>
    </w:tblStylePr>
    <w:tblStylePr w:type="firstCol">
      <w:rPr>
        <w:b/>
        <w:bCs/>
      </w:rPr>
    </w:tblStylePr>
    <w:tblStylePr w:type="lastCol">
      <w:rPr>
        <w:b/>
        <w:bCs/>
      </w:rPr>
    </w:tblStylePr>
    <w:tblStylePr w:type="band1Vert">
      <w:tblPr/>
      <w:tcPr>
        <w:shd w:val="clear" w:color="auto" w:fill="E7E4E3" w:themeFill="accent5" w:themeFillTint="33"/>
      </w:tcPr>
    </w:tblStylePr>
    <w:tblStylePr w:type="band1Horz">
      <w:tblPr/>
      <w:tcPr>
        <w:shd w:val="clear" w:color="auto" w:fill="E7E4E3" w:themeFill="accent5" w:themeFillTint="33"/>
      </w:tcPr>
    </w:tblStylePr>
  </w:style>
  <w:style w:type="table" w:styleId="ListTable1Light-Accent4">
    <w:name w:val="List Table 1 Light Accent 4"/>
    <w:basedOn w:val="TableNormal"/>
    <w:uiPriority w:val="46"/>
    <w:rsid w:val="00B66C99"/>
    <w:pPr>
      <w:spacing w:after="0" w:line="240" w:lineRule="auto"/>
    </w:pPr>
    <w:rPr>
      <w:sz w:val="18"/>
    </w:rPr>
    <w:tblPr>
      <w:tblStyleRowBandSize w:val="1"/>
      <w:tblStyleColBandSize w:val="1"/>
    </w:tblPr>
    <w:tblStylePr w:type="firstRow">
      <w:rPr>
        <w:b/>
        <w:bCs/>
      </w:rPr>
      <w:tblPr/>
      <w:tcPr>
        <w:tcBorders>
          <w:bottom w:val="single" w:sz="4" w:space="0" w:color="DDB5A9" w:themeColor="accent4" w:themeTint="99"/>
        </w:tcBorders>
      </w:tcPr>
    </w:tblStylePr>
    <w:tblStylePr w:type="lastRow">
      <w:rPr>
        <w:b/>
        <w:bCs/>
      </w:rPr>
      <w:tblPr/>
      <w:tcPr>
        <w:tcBorders>
          <w:top w:val="single" w:sz="4" w:space="0" w:color="DDB5A9" w:themeColor="accent4" w:themeTint="99"/>
        </w:tcBorders>
      </w:tcPr>
    </w:tblStylePr>
    <w:tblStylePr w:type="firstCol">
      <w:rPr>
        <w:b/>
        <w:bCs/>
      </w:rPr>
    </w:tblStylePr>
    <w:tblStylePr w:type="lastCol">
      <w:rPr>
        <w:b/>
        <w:bCs/>
      </w:rPr>
    </w:tblStylePr>
    <w:tblStylePr w:type="band1Vert">
      <w:tblPr/>
      <w:tcPr>
        <w:shd w:val="clear" w:color="auto" w:fill="F3E6E2" w:themeFill="accent4" w:themeFillTint="33"/>
      </w:tcPr>
    </w:tblStylePr>
    <w:tblStylePr w:type="band1Horz">
      <w:tblPr/>
      <w:tcPr>
        <w:shd w:val="clear" w:color="auto" w:fill="F3E6E2" w:themeFill="accent4" w:themeFillTint="33"/>
      </w:tcPr>
    </w:tblStylePr>
  </w:style>
  <w:style w:type="table" w:styleId="ListTable1Light-Accent3">
    <w:name w:val="List Table 1 Light Accent 3"/>
    <w:basedOn w:val="TableNormal"/>
    <w:uiPriority w:val="46"/>
    <w:rsid w:val="00B66C99"/>
    <w:pPr>
      <w:spacing w:after="0" w:line="240" w:lineRule="auto"/>
    </w:pPr>
    <w:rPr>
      <w:sz w:val="18"/>
    </w:rPr>
    <w:tblPr>
      <w:tblStyleRowBandSize w:val="1"/>
      <w:tblStyleColBandSize w:val="1"/>
    </w:tblPr>
    <w:tblStylePr w:type="firstRow">
      <w:rPr>
        <w:b/>
        <w:bCs/>
      </w:rPr>
      <w:tblPr/>
      <w:tcPr>
        <w:tcBorders>
          <w:bottom w:val="single" w:sz="4" w:space="0" w:color="DDC9FF" w:themeColor="accent3" w:themeTint="99"/>
        </w:tcBorders>
      </w:tcPr>
    </w:tblStylePr>
    <w:tblStylePr w:type="lastRow">
      <w:rPr>
        <w:b/>
        <w:bCs/>
      </w:rPr>
      <w:tblPr/>
      <w:tcPr>
        <w:tcBorders>
          <w:top w:val="single" w:sz="4" w:space="0" w:color="DDC9FF" w:themeColor="accent3" w:themeTint="99"/>
        </w:tcBorders>
      </w:tcPr>
    </w:tblStylePr>
    <w:tblStylePr w:type="firstCol">
      <w:rPr>
        <w:b/>
        <w:bCs/>
      </w:rPr>
    </w:tblStylePr>
    <w:tblStylePr w:type="lastCol">
      <w:rPr>
        <w:b/>
        <w:bCs/>
      </w:rPr>
    </w:tblStylePr>
    <w:tblStylePr w:type="band1Vert">
      <w:tblPr/>
      <w:tcPr>
        <w:shd w:val="clear" w:color="auto" w:fill="F3EDFF" w:themeFill="accent3" w:themeFillTint="33"/>
      </w:tcPr>
    </w:tblStylePr>
    <w:tblStylePr w:type="band1Horz">
      <w:tblPr/>
      <w:tcPr>
        <w:shd w:val="clear" w:color="auto" w:fill="F3EDFF" w:themeFill="accent3" w:themeFillTint="33"/>
      </w:tcPr>
    </w:tblStylePr>
  </w:style>
  <w:style w:type="table" w:styleId="ListTable1Light-Accent2">
    <w:name w:val="List Table 1 Light Accent 2"/>
    <w:basedOn w:val="TableNormal"/>
    <w:uiPriority w:val="46"/>
    <w:rsid w:val="00B66C99"/>
    <w:pPr>
      <w:spacing w:after="0" w:line="240" w:lineRule="auto"/>
    </w:pPr>
    <w:rPr>
      <w:sz w:val="18"/>
    </w:rPr>
    <w:tblPr>
      <w:tblStyleRowBandSize w:val="1"/>
      <w:tblStyleColBandSize w:val="1"/>
    </w:tblPr>
    <w:tblStylePr w:type="firstRow">
      <w:rPr>
        <w:b/>
        <w:bCs/>
      </w:rPr>
      <w:tblPr/>
      <w:tcPr>
        <w:tcBorders>
          <w:bottom w:val="single" w:sz="4" w:space="0" w:color="7C49BC" w:themeColor="accent2" w:themeTint="99"/>
        </w:tcBorders>
      </w:tcPr>
    </w:tblStylePr>
    <w:tblStylePr w:type="lastRow">
      <w:rPr>
        <w:b/>
        <w:bCs/>
      </w:rPr>
      <w:tblPr/>
      <w:tcPr>
        <w:tcBorders>
          <w:top w:val="single" w:sz="4" w:space="0" w:color="7C49BC" w:themeColor="accent2" w:themeTint="99"/>
        </w:tcBorders>
      </w:tcPr>
    </w:tblStylePr>
    <w:tblStylePr w:type="firstCol">
      <w:rPr>
        <w:b/>
        <w:bCs/>
      </w:rPr>
    </w:tblStylePr>
    <w:tblStylePr w:type="lastCol">
      <w:rPr>
        <w:b/>
        <w:bCs/>
      </w:rPr>
    </w:tblStylePr>
    <w:tblStylePr w:type="band1Vert">
      <w:tblPr/>
      <w:tcPr>
        <w:shd w:val="clear" w:color="auto" w:fill="D3C2E8" w:themeFill="accent2" w:themeFillTint="33"/>
      </w:tcPr>
    </w:tblStylePr>
    <w:tblStylePr w:type="band1Horz">
      <w:tblPr/>
      <w:tcPr>
        <w:shd w:val="clear" w:color="auto" w:fill="D3C2E8" w:themeFill="accent2" w:themeFillTint="33"/>
      </w:tcPr>
    </w:tblStylePr>
  </w:style>
  <w:style w:type="table" w:styleId="ListTable1Light-Accent1">
    <w:name w:val="List Table 1 Light Accent 1"/>
    <w:basedOn w:val="TableNormal"/>
    <w:uiPriority w:val="46"/>
    <w:rsid w:val="00B66C99"/>
    <w:pPr>
      <w:spacing w:after="0" w:line="240" w:lineRule="auto"/>
    </w:pPr>
    <w:rPr>
      <w:sz w:val="18"/>
    </w:rPr>
    <w:tblPr>
      <w:tblStyleRowBandSize w:val="1"/>
      <w:tblStyleColBandSize w:val="1"/>
    </w:tblPr>
    <w:tblStylePr w:type="firstRow">
      <w:rPr>
        <w:b/>
        <w:bCs/>
      </w:rPr>
      <w:tblPr/>
      <w:tcPr>
        <w:tcBorders>
          <w:bottom w:val="single" w:sz="4" w:space="0" w:color="B781BF" w:themeColor="accent1" w:themeTint="99"/>
        </w:tcBorders>
      </w:tcPr>
    </w:tblStylePr>
    <w:tblStylePr w:type="lastRow">
      <w:rPr>
        <w:b/>
        <w:bCs/>
      </w:rPr>
      <w:tblPr/>
      <w:tcPr>
        <w:tcBorders>
          <w:top w:val="single" w:sz="4" w:space="0" w:color="B781BF" w:themeColor="accent1" w:themeTint="99"/>
        </w:tcBorders>
      </w:tcPr>
    </w:tblStylePr>
    <w:tblStylePr w:type="firstCol">
      <w:rPr>
        <w:b/>
        <w:bCs/>
      </w:rPr>
    </w:tblStylePr>
    <w:tblStylePr w:type="lastCol">
      <w:rPr>
        <w:b/>
        <w:bCs/>
      </w:rPr>
    </w:tblStylePr>
    <w:tblStylePr w:type="band1Vert">
      <w:tblPr/>
      <w:tcPr>
        <w:shd w:val="clear" w:color="auto" w:fill="E7D5E9" w:themeFill="accent1" w:themeFillTint="33"/>
      </w:tcPr>
    </w:tblStylePr>
    <w:tblStylePr w:type="band1Horz">
      <w:tblPr/>
      <w:tcPr>
        <w:shd w:val="clear" w:color="auto" w:fill="E7D5E9" w:themeFill="accent1" w:themeFillTint="33"/>
      </w:tcPr>
    </w:tblStylePr>
  </w:style>
  <w:style w:type="table" w:styleId="ListTable1Light">
    <w:name w:val="List Table 1 Light"/>
    <w:basedOn w:val="TableNormal"/>
    <w:uiPriority w:val="46"/>
    <w:rsid w:val="00B66C99"/>
    <w:pPr>
      <w:spacing w:after="0" w:line="240" w:lineRule="auto"/>
    </w:pPr>
    <w:rPr>
      <w:sz w:val="18"/>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B66C99"/>
    <w:pPr>
      <w:spacing w:after="0" w:line="240" w:lineRule="auto"/>
    </w:pPr>
    <w:rPr>
      <w:color w:val="645C59" w:themeColor="accent5" w:themeShade="BF"/>
      <w:sz w:val="18"/>
    </w:rPr>
    <w:tblPr>
      <w:tblStyleRowBandSize w:val="1"/>
      <w:tblStyleColBandSize w:val="1"/>
      <w:tblBorders>
        <w:top w:val="single" w:sz="4" w:space="0" w:color="B7AFAD" w:themeColor="accent5" w:themeTint="99"/>
        <w:left w:val="single" w:sz="4" w:space="0" w:color="B7AFAD" w:themeColor="accent5" w:themeTint="99"/>
        <w:bottom w:val="single" w:sz="4" w:space="0" w:color="B7AFAD" w:themeColor="accent5" w:themeTint="99"/>
        <w:right w:val="single" w:sz="4" w:space="0" w:color="B7AFAD" w:themeColor="accent5" w:themeTint="99"/>
        <w:insideH w:val="single" w:sz="4" w:space="0" w:color="B7AFAD" w:themeColor="accent5" w:themeTint="99"/>
        <w:insideV w:val="single" w:sz="4" w:space="0" w:color="B7AFA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4E3" w:themeFill="accent5" w:themeFillTint="33"/>
      </w:tcPr>
    </w:tblStylePr>
    <w:tblStylePr w:type="band1Horz">
      <w:tblPr/>
      <w:tcPr>
        <w:shd w:val="clear" w:color="auto" w:fill="E7E4E3" w:themeFill="accent5" w:themeFillTint="33"/>
      </w:tcPr>
    </w:tblStylePr>
    <w:tblStylePr w:type="neCell">
      <w:tblPr/>
      <w:tcPr>
        <w:tcBorders>
          <w:bottom w:val="single" w:sz="4" w:space="0" w:color="B7AFAD" w:themeColor="accent5" w:themeTint="99"/>
        </w:tcBorders>
      </w:tcPr>
    </w:tblStylePr>
    <w:tblStylePr w:type="nwCell">
      <w:tblPr/>
      <w:tcPr>
        <w:tcBorders>
          <w:bottom w:val="single" w:sz="4" w:space="0" w:color="B7AFAD" w:themeColor="accent5" w:themeTint="99"/>
        </w:tcBorders>
      </w:tcPr>
    </w:tblStylePr>
    <w:tblStylePr w:type="seCell">
      <w:tblPr/>
      <w:tcPr>
        <w:tcBorders>
          <w:top w:val="single" w:sz="4" w:space="0" w:color="B7AFAD" w:themeColor="accent5" w:themeTint="99"/>
        </w:tcBorders>
      </w:tcPr>
    </w:tblStylePr>
    <w:tblStylePr w:type="swCell">
      <w:tblPr/>
      <w:tcPr>
        <w:tcBorders>
          <w:top w:val="single" w:sz="4" w:space="0" w:color="B7AFAD" w:themeColor="accent5" w:themeTint="99"/>
        </w:tcBorders>
      </w:tcPr>
    </w:tblStylePr>
  </w:style>
  <w:style w:type="table" w:styleId="GridTable7Colorful-Accent4">
    <w:name w:val="Grid Table 7 Colorful Accent 4"/>
    <w:basedOn w:val="TableNormal"/>
    <w:uiPriority w:val="52"/>
    <w:rsid w:val="00B66C99"/>
    <w:pPr>
      <w:spacing w:after="0" w:line="240" w:lineRule="auto"/>
    </w:pPr>
    <w:rPr>
      <w:color w:val="A75941" w:themeColor="accent4" w:themeShade="BF"/>
      <w:sz w:val="18"/>
    </w:rPr>
    <w:tblPr>
      <w:tblStyleRowBandSize w:val="1"/>
      <w:tblStyleColBandSize w:val="1"/>
      <w:tblBorders>
        <w:top w:val="single" w:sz="4" w:space="0" w:color="DDB5A9" w:themeColor="accent4" w:themeTint="99"/>
        <w:left w:val="single" w:sz="4" w:space="0" w:color="DDB5A9" w:themeColor="accent4" w:themeTint="99"/>
        <w:bottom w:val="single" w:sz="4" w:space="0" w:color="DDB5A9" w:themeColor="accent4" w:themeTint="99"/>
        <w:right w:val="single" w:sz="4" w:space="0" w:color="DDB5A9" w:themeColor="accent4" w:themeTint="99"/>
        <w:insideH w:val="single" w:sz="4" w:space="0" w:color="DDB5A9" w:themeColor="accent4" w:themeTint="99"/>
        <w:insideV w:val="single" w:sz="4" w:space="0" w:color="DDB5A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6E2" w:themeFill="accent4" w:themeFillTint="33"/>
      </w:tcPr>
    </w:tblStylePr>
    <w:tblStylePr w:type="band1Horz">
      <w:tblPr/>
      <w:tcPr>
        <w:shd w:val="clear" w:color="auto" w:fill="F3E6E2" w:themeFill="accent4" w:themeFillTint="33"/>
      </w:tcPr>
    </w:tblStylePr>
    <w:tblStylePr w:type="neCell">
      <w:tblPr/>
      <w:tcPr>
        <w:tcBorders>
          <w:bottom w:val="single" w:sz="4" w:space="0" w:color="DDB5A9" w:themeColor="accent4" w:themeTint="99"/>
        </w:tcBorders>
      </w:tcPr>
    </w:tblStylePr>
    <w:tblStylePr w:type="nwCell">
      <w:tblPr/>
      <w:tcPr>
        <w:tcBorders>
          <w:bottom w:val="single" w:sz="4" w:space="0" w:color="DDB5A9" w:themeColor="accent4" w:themeTint="99"/>
        </w:tcBorders>
      </w:tcPr>
    </w:tblStylePr>
    <w:tblStylePr w:type="seCell">
      <w:tblPr/>
      <w:tcPr>
        <w:tcBorders>
          <w:top w:val="single" w:sz="4" w:space="0" w:color="DDB5A9" w:themeColor="accent4" w:themeTint="99"/>
        </w:tcBorders>
      </w:tcPr>
    </w:tblStylePr>
    <w:tblStylePr w:type="swCell">
      <w:tblPr/>
      <w:tcPr>
        <w:tcBorders>
          <w:top w:val="single" w:sz="4" w:space="0" w:color="DDB5A9" w:themeColor="accent4" w:themeTint="99"/>
        </w:tcBorders>
      </w:tcPr>
    </w:tblStylePr>
  </w:style>
  <w:style w:type="table" w:styleId="GridTable7Colorful-Accent3">
    <w:name w:val="Grid Table 7 Colorful Accent 3"/>
    <w:basedOn w:val="TableNormal"/>
    <w:uiPriority w:val="52"/>
    <w:rsid w:val="00745914"/>
    <w:pPr>
      <w:spacing w:after="0" w:line="240" w:lineRule="auto"/>
    </w:pPr>
    <w:rPr>
      <w:color w:val="843BFF" w:themeColor="accent3" w:themeShade="BF"/>
      <w:sz w:val="18"/>
    </w:rPr>
    <w:tblPr>
      <w:tblStyleRowBandSize w:val="1"/>
      <w:tblStyleColBandSize w:val="1"/>
      <w:tblBorders>
        <w:top w:val="single" w:sz="4" w:space="0" w:color="DDC9FF" w:themeColor="accent3" w:themeTint="99"/>
        <w:left w:val="single" w:sz="4" w:space="0" w:color="DDC9FF" w:themeColor="accent3" w:themeTint="99"/>
        <w:bottom w:val="single" w:sz="4" w:space="0" w:color="DDC9FF" w:themeColor="accent3" w:themeTint="99"/>
        <w:right w:val="single" w:sz="4" w:space="0" w:color="DDC9FF" w:themeColor="accent3" w:themeTint="99"/>
        <w:insideH w:val="single" w:sz="4" w:space="0" w:color="DDC9FF" w:themeColor="accent3" w:themeTint="99"/>
        <w:insideV w:val="single" w:sz="4" w:space="0" w:color="DDC9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DFF" w:themeFill="accent3" w:themeFillTint="33"/>
      </w:tcPr>
    </w:tblStylePr>
    <w:tblStylePr w:type="band1Horz">
      <w:tblPr/>
      <w:tcPr>
        <w:shd w:val="clear" w:color="auto" w:fill="F3EDFF" w:themeFill="accent3" w:themeFillTint="33"/>
      </w:tcPr>
    </w:tblStylePr>
    <w:tblStylePr w:type="neCell">
      <w:tblPr/>
      <w:tcPr>
        <w:tcBorders>
          <w:bottom w:val="single" w:sz="4" w:space="0" w:color="DDC9FF" w:themeColor="accent3" w:themeTint="99"/>
        </w:tcBorders>
      </w:tcPr>
    </w:tblStylePr>
    <w:tblStylePr w:type="nwCell">
      <w:tblPr/>
      <w:tcPr>
        <w:tcBorders>
          <w:bottom w:val="single" w:sz="4" w:space="0" w:color="DDC9FF" w:themeColor="accent3" w:themeTint="99"/>
        </w:tcBorders>
      </w:tcPr>
    </w:tblStylePr>
    <w:tblStylePr w:type="seCell">
      <w:tblPr/>
      <w:tcPr>
        <w:tcBorders>
          <w:top w:val="single" w:sz="4" w:space="0" w:color="DDC9FF" w:themeColor="accent3" w:themeTint="99"/>
        </w:tcBorders>
      </w:tcPr>
    </w:tblStylePr>
    <w:tblStylePr w:type="swCell">
      <w:tblPr/>
      <w:tcPr>
        <w:tcBorders>
          <w:top w:val="single" w:sz="4" w:space="0" w:color="DDC9FF" w:themeColor="accent3" w:themeTint="99"/>
        </w:tcBorders>
      </w:tcPr>
    </w:tblStylePr>
  </w:style>
  <w:style w:type="table" w:styleId="GridTable7Colorful-Accent2">
    <w:name w:val="Grid Table 7 Colorful Accent 2"/>
    <w:basedOn w:val="TableNormal"/>
    <w:uiPriority w:val="52"/>
    <w:rsid w:val="00745914"/>
    <w:pPr>
      <w:spacing w:after="0" w:line="240" w:lineRule="auto"/>
    </w:pPr>
    <w:rPr>
      <w:color w:val="221334" w:themeColor="accent2" w:themeShade="BF"/>
      <w:sz w:val="18"/>
    </w:rPr>
    <w:tblPr>
      <w:tblStyleRowBandSize w:val="1"/>
      <w:tblStyleColBandSize w:val="1"/>
      <w:tblBorders>
        <w:top w:val="single" w:sz="4" w:space="0" w:color="7C49BC" w:themeColor="accent2" w:themeTint="99"/>
        <w:left w:val="single" w:sz="4" w:space="0" w:color="7C49BC" w:themeColor="accent2" w:themeTint="99"/>
        <w:bottom w:val="single" w:sz="4" w:space="0" w:color="7C49BC" w:themeColor="accent2" w:themeTint="99"/>
        <w:right w:val="single" w:sz="4" w:space="0" w:color="7C49BC" w:themeColor="accent2" w:themeTint="99"/>
        <w:insideH w:val="single" w:sz="4" w:space="0" w:color="7C49BC" w:themeColor="accent2" w:themeTint="99"/>
        <w:insideV w:val="single" w:sz="4" w:space="0" w:color="7C49B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C2E8" w:themeFill="accent2" w:themeFillTint="33"/>
      </w:tcPr>
    </w:tblStylePr>
    <w:tblStylePr w:type="band1Horz">
      <w:tblPr/>
      <w:tcPr>
        <w:shd w:val="clear" w:color="auto" w:fill="D3C2E8" w:themeFill="accent2" w:themeFillTint="33"/>
      </w:tcPr>
    </w:tblStylePr>
    <w:tblStylePr w:type="neCell">
      <w:tblPr/>
      <w:tcPr>
        <w:tcBorders>
          <w:bottom w:val="single" w:sz="4" w:space="0" w:color="7C49BC" w:themeColor="accent2" w:themeTint="99"/>
        </w:tcBorders>
      </w:tcPr>
    </w:tblStylePr>
    <w:tblStylePr w:type="nwCell">
      <w:tblPr/>
      <w:tcPr>
        <w:tcBorders>
          <w:bottom w:val="single" w:sz="4" w:space="0" w:color="7C49BC" w:themeColor="accent2" w:themeTint="99"/>
        </w:tcBorders>
      </w:tcPr>
    </w:tblStylePr>
    <w:tblStylePr w:type="seCell">
      <w:tblPr/>
      <w:tcPr>
        <w:tcBorders>
          <w:top w:val="single" w:sz="4" w:space="0" w:color="7C49BC" w:themeColor="accent2" w:themeTint="99"/>
        </w:tcBorders>
      </w:tcPr>
    </w:tblStylePr>
    <w:tblStylePr w:type="swCell">
      <w:tblPr/>
      <w:tcPr>
        <w:tcBorders>
          <w:top w:val="single" w:sz="4" w:space="0" w:color="7C49BC" w:themeColor="accent2" w:themeTint="99"/>
        </w:tcBorders>
      </w:tcPr>
    </w:tblStylePr>
  </w:style>
  <w:style w:type="table" w:styleId="GridTable7Colorful-Accent1">
    <w:name w:val="Grid Table 7 Colorful Accent 1"/>
    <w:basedOn w:val="TableNormal"/>
    <w:uiPriority w:val="52"/>
    <w:rsid w:val="00745914"/>
    <w:pPr>
      <w:spacing w:after="0" w:line="240" w:lineRule="auto"/>
    </w:pPr>
    <w:rPr>
      <w:color w:val="5B3161" w:themeColor="accent1" w:themeShade="BF"/>
      <w:sz w:val="18"/>
    </w:rPr>
    <w:tblPr>
      <w:tblStyleRowBandSize w:val="1"/>
      <w:tblStyleColBandSize w:val="1"/>
      <w:tblBorders>
        <w:top w:val="single" w:sz="4" w:space="0" w:color="B781BF" w:themeColor="accent1" w:themeTint="99"/>
        <w:left w:val="single" w:sz="4" w:space="0" w:color="B781BF" w:themeColor="accent1" w:themeTint="99"/>
        <w:bottom w:val="single" w:sz="4" w:space="0" w:color="B781BF" w:themeColor="accent1" w:themeTint="99"/>
        <w:right w:val="single" w:sz="4" w:space="0" w:color="B781BF" w:themeColor="accent1" w:themeTint="99"/>
        <w:insideH w:val="single" w:sz="4" w:space="0" w:color="B781BF" w:themeColor="accent1" w:themeTint="99"/>
        <w:insideV w:val="single" w:sz="4" w:space="0" w:color="B781B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5E9" w:themeFill="accent1" w:themeFillTint="33"/>
      </w:tcPr>
    </w:tblStylePr>
    <w:tblStylePr w:type="band1Horz">
      <w:tblPr/>
      <w:tcPr>
        <w:shd w:val="clear" w:color="auto" w:fill="E7D5E9" w:themeFill="accent1" w:themeFillTint="33"/>
      </w:tcPr>
    </w:tblStylePr>
    <w:tblStylePr w:type="neCell">
      <w:tblPr/>
      <w:tcPr>
        <w:tcBorders>
          <w:bottom w:val="single" w:sz="4" w:space="0" w:color="B781BF" w:themeColor="accent1" w:themeTint="99"/>
        </w:tcBorders>
      </w:tcPr>
    </w:tblStylePr>
    <w:tblStylePr w:type="nwCell">
      <w:tblPr/>
      <w:tcPr>
        <w:tcBorders>
          <w:bottom w:val="single" w:sz="4" w:space="0" w:color="B781BF" w:themeColor="accent1" w:themeTint="99"/>
        </w:tcBorders>
      </w:tcPr>
    </w:tblStylePr>
    <w:tblStylePr w:type="seCell">
      <w:tblPr/>
      <w:tcPr>
        <w:tcBorders>
          <w:top w:val="single" w:sz="4" w:space="0" w:color="B781BF" w:themeColor="accent1" w:themeTint="99"/>
        </w:tcBorders>
      </w:tcPr>
    </w:tblStylePr>
    <w:tblStylePr w:type="swCell">
      <w:tblPr/>
      <w:tcPr>
        <w:tcBorders>
          <w:top w:val="single" w:sz="4" w:space="0" w:color="B781BF" w:themeColor="accent1" w:themeTint="99"/>
        </w:tcBorders>
      </w:tcPr>
    </w:tblStylePr>
  </w:style>
  <w:style w:type="table" w:styleId="GridTable7Colorful">
    <w:name w:val="Grid Table 7 Colorful"/>
    <w:basedOn w:val="TableNormal"/>
    <w:uiPriority w:val="52"/>
    <w:rsid w:val="00745914"/>
    <w:pPr>
      <w:spacing w:after="0" w:line="240" w:lineRule="auto"/>
    </w:pPr>
    <w:rPr>
      <w:color w:val="000000" w:themeColor="text1"/>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Accent5">
    <w:name w:val="Grid Table 5 Dark Accent 5"/>
    <w:basedOn w:val="TableNormal"/>
    <w:uiPriority w:val="50"/>
    <w:rsid w:val="00745914"/>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4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7B7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7B7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7B7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7B77" w:themeFill="accent5"/>
      </w:tcPr>
    </w:tblStylePr>
    <w:tblStylePr w:type="band1Vert">
      <w:tblPr/>
      <w:tcPr>
        <w:shd w:val="clear" w:color="auto" w:fill="CFC9C8" w:themeFill="accent5" w:themeFillTint="66"/>
      </w:tcPr>
    </w:tblStylePr>
    <w:tblStylePr w:type="band1Horz">
      <w:tblPr/>
      <w:tcPr>
        <w:shd w:val="clear" w:color="auto" w:fill="CFC9C8" w:themeFill="accent5" w:themeFillTint="66"/>
      </w:tcPr>
    </w:tblStylePr>
  </w:style>
  <w:style w:type="table" w:styleId="GridTable5Dark-Accent3">
    <w:name w:val="Grid Table 5 Dark Accent 3"/>
    <w:basedOn w:val="TableNormal"/>
    <w:uiPriority w:val="50"/>
    <w:rsid w:val="00745914"/>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ED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7A5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7A5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7A5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7A5FF" w:themeFill="accent3"/>
      </w:tcPr>
    </w:tblStylePr>
    <w:tblStylePr w:type="band1Vert">
      <w:tblPr/>
      <w:tcPr>
        <w:shd w:val="clear" w:color="auto" w:fill="E8DBFF" w:themeFill="accent3" w:themeFillTint="66"/>
      </w:tcPr>
    </w:tblStylePr>
    <w:tblStylePr w:type="band1Horz">
      <w:tblPr/>
      <w:tcPr>
        <w:shd w:val="clear" w:color="auto" w:fill="E8DBFF" w:themeFill="accent3" w:themeFillTint="66"/>
      </w:tcPr>
    </w:tblStylePr>
  </w:style>
  <w:style w:type="table" w:styleId="GridTable5Dark-Accent2">
    <w:name w:val="Grid Table 5 Dark Accent 2"/>
    <w:basedOn w:val="TableNormal"/>
    <w:uiPriority w:val="50"/>
    <w:rsid w:val="00745914"/>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C2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1A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1A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1A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1A47" w:themeFill="accent2"/>
      </w:tcPr>
    </w:tblStylePr>
    <w:tblStylePr w:type="band1Vert">
      <w:tblPr/>
      <w:tcPr>
        <w:shd w:val="clear" w:color="auto" w:fill="A786D2" w:themeFill="accent2" w:themeFillTint="66"/>
      </w:tcPr>
    </w:tblStylePr>
    <w:tblStylePr w:type="band1Horz">
      <w:tblPr/>
      <w:tcPr>
        <w:shd w:val="clear" w:color="auto" w:fill="A786D2" w:themeFill="accent2" w:themeFillTint="66"/>
      </w:tcPr>
    </w:tblStylePr>
  </w:style>
  <w:style w:type="table" w:styleId="GridTable5Dark">
    <w:name w:val="Grid Table 5 Dark"/>
    <w:basedOn w:val="TableNormal"/>
    <w:uiPriority w:val="50"/>
    <w:rsid w:val="00745914"/>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4">
    <w:name w:val="Grid Table 4 Accent 4"/>
    <w:basedOn w:val="TableNormal"/>
    <w:uiPriority w:val="49"/>
    <w:rsid w:val="00745914"/>
    <w:pPr>
      <w:spacing w:after="0" w:line="240" w:lineRule="auto"/>
    </w:pPr>
    <w:rPr>
      <w:sz w:val="18"/>
    </w:rPr>
    <w:tblPr>
      <w:tblStyleRowBandSize w:val="1"/>
      <w:tblStyleColBandSize w:val="1"/>
      <w:tblBorders>
        <w:top w:val="single" w:sz="4" w:space="0" w:color="DDB5A9" w:themeColor="accent4" w:themeTint="99"/>
        <w:left w:val="single" w:sz="4" w:space="0" w:color="DDB5A9" w:themeColor="accent4" w:themeTint="99"/>
        <w:bottom w:val="single" w:sz="4" w:space="0" w:color="DDB5A9" w:themeColor="accent4" w:themeTint="99"/>
        <w:right w:val="single" w:sz="4" w:space="0" w:color="DDB5A9" w:themeColor="accent4" w:themeTint="99"/>
        <w:insideH w:val="single" w:sz="4" w:space="0" w:color="DDB5A9" w:themeColor="accent4" w:themeTint="99"/>
        <w:insideV w:val="single" w:sz="4" w:space="0" w:color="DDB5A9" w:themeColor="accent4" w:themeTint="99"/>
      </w:tblBorders>
    </w:tblPr>
    <w:tblStylePr w:type="firstRow">
      <w:rPr>
        <w:b/>
        <w:bCs/>
        <w:color w:val="FFFFFF" w:themeColor="background1"/>
      </w:rPr>
      <w:tblPr/>
      <w:tcPr>
        <w:tcBorders>
          <w:top w:val="single" w:sz="4" w:space="0" w:color="C78570" w:themeColor="accent4"/>
          <w:left w:val="single" w:sz="4" w:space="0" w:color="C78570" w:themeColor="accent4"/>
          <w:bottom w:val="single" w:sz="4" w:space="0" w:color="C78570" w:themeColor="accent4"/>
          <w:right w:val="single" w:sz="4" w:space="0" w:color="C78570" w:themeColor="accent4"/>
          <w:insideH w:val="nil"/>
          <w:insideV w:val="nil"/>
        </w:tcBorders>
        <w:shd w:val="clear" w:color="auto" w:fill="C78570" w:themeFill="accent4"/>
      </w:tcPr>
    </w:tblStylePr>
    <w:tblStylePr w:type="lastRow">
      <w:rPr>
        <w:b/>
        <w:bCs/>
      </w:rPr>
      <w:tblPr/>
      <w:tcPr>
        <w:tcBorders>
          <w:top w:val="double" w:sz="4" w:space="0" w:color="C78570" w:themeColor="accent4"/>
        </w:tcBorders>
      </w:tcPr>
    </w:tblStylePr>
    <w:tblStylePr w:type="firstCol">
      <w:rPr>
        <w:b/>
        <w:bCs/>
      </w:rPr>
    </w:tblStylePr>
    <w:tblStylePr w:type="lastCol">
      <w:rPr>
        <w:b/>
        <w:bCs/>
      </w:rPr>
    </w:tblStylePr>
    <w:tblStylePr w:type="band1Vert">
      <w:tblPr/>
      <w:tcPr>
        <w:shd w:val="clear" w:color="auto" w:fill="F3E6E2" w:themeFill="accent4" w:themeFillTint="33"/>
      </w:tcPr>
    </w:tblStylePr>
    <w:tblStylePr w:type="band1Horz">
      <w:tblPr/>
      <w:tcPr>
        <w:shd w:val="clear" w:color="auto" w:fill="F3E6E2" w:themeFill="accent4" w:themeFillTint="33"/>
      </w:tcPr>
    </w:tblStylePr>
  </w:style>
  <w:style w:type="table" w:styleId="GridTable4-Accent3">
    <w:name w:val="Grid Table 4 Accent 3"/>
    <w:basedOn w:val="TableNormal"/>
    <w:uiPriority w:val="49"/>
    <w:rsid w:val="00745914"/>
    <w:pPr>
      <w:spacing w:after="0" w:line="240" w:lineRule="auto"/>
    </w:pPr>
    <w:rPr>
      <w:sz w:val="18"/>
    </w:rPr>
    <w:tblPr>
      <w:tblStyleRowBandSize w:val="1"/>
      <w:tblStyleColBandSize w:val="1"/>
      <w:tblBorders>
        <w:top w:val="single" w:sz="4" w:space="0" w:color="DDC9FF" w:themeColor="accent3" w:themeTint="99"/>
        <w:left w:val="single" w:sz="4" w:space="0" w:color="DDC9FF" w:themeColor="accent3" w:themeTint="99"/>
        <w:bottom w:val="single" w:sz="4" w:space="0" w:color="DDC9FF" w:themeColor="accent3" w:themeTint="99"/>
        <w:right w:val="single" w:sz="4" w:space="0" w:color="DDC9FF" w:themeColor="accent3" w:themeTint="99"/>
        <w:insideH w:val="single" w:sz="4" w:space="0" w:color="DDC9FF" w:themeColor="accent3" w:themeTint="99"/>
        <w:insideV w:val="single" w:sz="4" w:space="0" w:color="DDC9FF" w:themeColor="accent3" w:themeTint="99"/>
      </w:tblBorders>
    </w:tblPr>
    <w:tblStylePr w:type="firstRow">
      <w:rPr>
        <w:b/>
        <w:bCs/>
        <w:color w:val="FFFFFF" w:themeColor="background1"/>
      </w:rPr>
      <w:tblPr/>
      <w:tcPr>
        <w:tcBorders>
          <w:top w:val="single" w:sz="4" w:space="0" w:color="C7A5FF" w:themeColor="accent3"/>
          <w:left w:val="single" w:sz="4" w:space="0" w:color="C7A5FF" w:themeColor="accent3"/>
          <w:bottom w:val="single" w:sz="4" w:space="0" w:color="C7A5FF" w:themeColor="accent3"/>
          <w:right w:val="single" w:sz="4" w:space="0" w:color="C7A5FF" w:themeColor="accent3"/>
          <w:insideH w:val="nil"/>
          <w:insideV w:val="nil"/>
        </w:tcBorders>
        <w:shd w:val="clear" w:color="auto" w:fill="C7A5FF" w:themeFill="accent3"/>
      </w:tcPr>
    </w:tblStylePr>
    <w:tblStylePr w:type="lastRow">
      <w:rPr>
        <w:b/>
        <w:bCs/>
      </w:rPr>
      <w:tblPr/>
      <w:tcPr>
        <w:tcBorders>
          <w:top w:val="double" w:sz="4" w:space="0" w:color="C7A5FF" w:themeColor="accent3"/>
        </w:tcBorders>
      </w:tcPr>
    </w:tblStylePr>
    <w:tblStylePr w:type="firstCol">
      <w:rPr>
        <w:b/>
        <w:bCs/>
      </w:rPr>
    </w:tblStylePr>
    <w:tblStylePr w:type="lastCol">
      <w:rPr>
        <w:b/>
        <w:bCs/>
      </w:rPr>
    </w:tblStylePr>
    <w:tblStylePr w:type="band1Vert">
      <w:tblPr/>
      <w:tcPr>
        <w:shd w:val="clear" w:color="auto" w:fill="F3EDFF" w:themeFill="accent3" w:themeFillTint="33"/>
      </w:tcPr>
    </w:tblStylePr>
    <w:tblStylePr w:type="band1Horz">
      <w:tblPr/>
      <w:tcPr>
        <w:shd w:val="clear" w:color="auto" w:fill="F3EDFF" w:themeFill="accent3" w:themeFillTint="33"/>
      </w:tcPr>
    </w:tblStylePr>
  </w:style>
  <w:style w:type="table" w:styleId="GridTable4-Accent2">
    <w:name w:val="Grid Table 4 Accent 2"/>
    <w:basedOn w:val="TableNormal"/>
    <w:uiPriority w:val="49"/>
    <w:rsid w:val="00745914"/>
    <w:pPr>
      <w:spacing w:after="0" w:line="240" w:lineRule="auto"/>
    </w:pPr>
    <w:rPr>
      <w:sz w:val="18"/>
    </w:rPr>
    <w:tblPr>
      <w:tblStyleRowBandSize w:val="1"/>
      <w:tblStyleColBandSize w:val="1"/>
      <w:tblBorders>
        <w:top w:val="single" w:sz="4" w:space="0" w:color="7C49BC" w:themeColor="accent2" w:themeTint="99"/>
        <w:left w:val="single" w:sz="4" w:space="0" w:color="7C49BC" w:themeColor="accent2" w:themeTint="99"/>
        <w:bottom w:val="single" w:sz="4" w:space="0" w:color="7C49BC" w:themeColor="accent2" w:themeTint="99"/>
        <w:right w:val="single" w:sz="4" w:space="0" w:color="7C49BC" w:themeColor="accent2" w:themeTint="99"/>
        <w:insideH w:val="single" w:sz="4" w:space="0" w:color="7C49BC" w:themeColor="accent2" w:themeTint="99"/>
        <w:insideV w:val="single" w:sz="4" w:space="0" w:color="7C49BC" w:themeColor="accent2" w:themeTint="99"/>
      </w:tblBorders>
    </w:tblPr>
    <w:tblStylePr w:type="firstRow">
      <w:rPr>
        <w:b/>
        <w:bCs/>
        <w:color w:val="FFFFFF" w:themeColor="background1"/>
      </w:rPr>
      <w:tblPr/>
      <w:tcPr>
        <w:tcBorders>
          <w:top w:val="single" w:sz="4" w:space="0" w:color="2E1A47" w:themeColor="accent2"/>
          <w:left w:val="single" w:sz="4" w:space="0" w:color="2E1A47" w:themeColor="accent2"/>
          <w:bottom w:val="single" w:sz="4" w:space="0" w:color="2E1A47" w:themeColor="accent2"/>
          <w:right w:val="single" w:sz="4" w:space="0" w:color="2E1A47" w:themeColor="accent2"/>
          <w:insideH w:val="nil"/>
          <w:insideV w:val="nil"/>
        </w:tcBorders>
        <w:shd w:val="clear" w:color="auto" w:fill="2E1A47" w:themeFill="accent2"/>
      </w:tcPr>
    </w:tblStylePr>
    <w:tblStylePr w:type="lastRow">
      <w:rPr>
        <w:b/>
        <w:bCs/>
      </w:rPr>
      <w:tblPr/>
      <w:tcPr>
        <w:tcBorders>
          <w:top w:val="double" w:sz="4" w:space="0" w:color="2E1A47" w:themeColor="accent2"/>
        </w:tcBorders>
      </w:tcPr>
    </w:tblStylePr>
    <w:tblStylePr w:type="firstCol">
      <w:rPr>
        <w:b/>
        <w:bCs/>
      </w:rPr>
    </w:tblStylePr>
    <w:tblStylePr w:type="lastCol">
      <w:rPr>
        <w:b/>
        <w:bCs/>
      </w:rPr>
    </w:tblStylePr>
    <w:tblStylePr w:type="band1Vert">
      <w:tblPr/>
      <w:tcPr>
        <w:shd w:val="clear" w:color="auto" w:fill="D3C2E8" w:themeFill="accent2" w:themeFillTint="33"/>
      </w:tcPr>
    </w:tblStylePr>
    <w:tblStylePr w:type="band1Horz">
      <w:tblPr/>
      <w:tcPr>
        <w:shd w:val="clear" w:color="auto" w:fill="D3C2E8" w:themeFill="accent2" w:themeFillTint="33"/>
      </w:tcPr>
    </w:tblStylePr>
  </w:style>
  <w:style w:type="table" w:styleId="GridTable4-Accent1">
    <w:name w:val="Grid Table 4 Accent 1"/>
    <w:basedOn w:val="TableNormal"/>
    <w:uiPriority w:val="49"/>
    <w:rsid w:val="00745914"/>
    <w:pPr>
      <w:spacing w:after="0" w:line="240" w:lineRule="auto"/>
    </w:pPr>
    <w:rPr>
      <w:sz w:val="18"/>
    </w:rPr>
    <w:tblPr>
      <w:tblStyleRowBandSize w:val="1"/>
      <w:tblStyleColBandSize w:val="1"/>
      <w:tblBorders>
        <w:top w:val="single" w:sz="4" w:space="0" w:color="B781BF" w:themeColor="accent1" w:themeTint="99"/>
        <w:left w:val="single" w:sz="4" w:space="0" w:color="B781BF" w:themeColor="accent1" w:themeTint="99"/>
        <w:bottom w:val="single" w:sz="4" w:space="0" w:color="B781BF" w:themeColor="accent1" w:themeTint="99"/>
        <w:right w:val="single" w:sz="4" w:space="0" w:color="B781BF" w:themeColor="accent1" w:themeTint="99"/>
        <w:insideH w:val="single" w:sz="4" w:space="0" w:color="B781BF" w:themeColor="accent1" w:themeTint="99"/>
        <w:insideV w:val="single" w:sz="4" w:space="0" w:color="B781BF" w:themeColor="accent1" w:themeTint="99"/>
      </w:tblBorders>
    </w:tblPr>
    <w:tblStylePr w:type="firstRow">
      <w:rPr>
        <w:b/>
        <w:bCs/>
        <w:color w:val="FFFFFF" w:themeColor="background1"/>
      </w:rPr>
      <w:tblPr/>
      <w:tcPr>
        <w:tcBorders>
          <w:top w:val="single" w:sz="4" w:space="0" w:color="7A4282" w:themeColor="accent1"/>
          <w:left w:val="single" w:sz="4" w:space="0" w:color="7A4282" w:themeColor="accent1"/>
          <w:bottom w:val="single" w:sz="4" w:space="0" w:color="7A4282" w:themeColor="accent1"/>
          <w:right w:val="single" w:sz="4" w:space="0" w:color="7A4282" w:themeColor="accent1"/>
          <w:insideH w:val="nil"/>
          <w:insideV w:val="nil"/>
        </w:tcBorders>
        <w:shd w:val="clear" w:color="auto" w:fill="7A4282" w:themeFill="accent1"/>
      </w:tcPr>
    </w:tblStylePr>
    <w:tblStylePr w:type="lastRow">
      <w:rPr>
        <w:b/>
        <w:bCs/>
      </w:rPr>
      <w:tblPr/>
      <w:tcPr>
        <w:tcBorders>
          <w:top w:val="double" w:sz="4" w:space="0" w:color="7A4282" w:themeColor="accent1"/>
        </w:tcBorders>
      </w:tcPr>
    </w:tblStylePr>
    <w:tblStylePr w:type="firstCol">
      <w:rPr>
        <w:b/>
        <w:bCs/>
      </w:rPr>
    </w:tblStylePr>
    <w:tblStylePr w:type="lastCol">
      <w:rPr>
        <w:b/>
        <w:bCs/>
      </w:rPr>
    </w:tblStylePr>
    <w:tblStylePr w:type="band1Vert">
      <w:tblPr/>
      <w:tcPr>
        <w:shd w:val="clear" w:color="auto" w:fill="E7D5E9" w:themeFill="accent1" w:themeFillTint="33"/>
      </w:tcPr>
    </w:tblStylePr>
    <w:tblStylePr w:type="band1Horz">
      <w:tblPr/>
      <w:tcPr>
        <w:shd w:val="clear" w:color="auto" w:fill="E7D5E9" w:themeFill="accent1" w:themeFillTint="33"/>
      </w:tcPr>
    </w:tblStylePr>
  </w:style>
  <w:style w:type="table" w:styleId="GridTable4">
    <w:name w:val="Grid Table 4"/>
    <w:basedOn w:val="TableNormal"/>
    <w:uiPriority w:val="49"/>
    <w:rsid w:val="00673420"/>
    <w:pPr>
      <w:spacing w:after="0" w:line="240" w:lineRule="auto"/>
    </w:pPr>
    <w:rPr>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2">
    <w:name w:val="Grid Table 3 Accent 2"/>
    <w:basedOn w:val="TableNormal"/>
    <w:uiPriority w:val="48"/>
    <w:rsid w:val="00A350E1"/>
    <w:pPr>
      <w:spacing w:after="0" w:line="240" w:lineRule="auto"/>
    </w:pPr>
    <w:rPr>
      <w:sz w:val="18"/>
    </w:rPr>
    <w:tblPr>
      <w:tblStyleRowBandSize w:val="1"/>
      <w:tblStyleColBandSize w:val="1"/>
      <w:tblBorders>
        <w:top w:val="single" w:sz="4" w:space="0" w:color="7C49BC" w:themeColor="accent2" w:themeTint="99"/>
        <w:left w:val="single" w:sz="4" w:space="0" w:color="7C49BC" w:themeColor="accent2" w:themeTint="99"/>
        <w:bottom w:val="single" w:sz="4" w:space="0" w:color="7C49BC" w:themeColor="accent2" w:themeTint="99"/>
        <w:right w:val="single" w:sz="4" w:space="0" w:color="7C49BC" w:themeColor="accent2" w:themeTint="99"/>
        <w:insideH w:val="single" w:sz="4" w:space="0" w:color="7C49BC" w:themeColor="accent2" w:themeTint="99"/>
        <w:insideV w:val="single" w:sz="4" w:space="0" w:color="7C49B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C2E8" w:themeFill="accent2" w:themeFillTint="33"/>
      </w:tcPr>
    </w:tblStylePr>
    <w:tblStylePr w:type="band1Horz">
      <w:tblPr/>
      <w:tcPr>
        <w:shd w:val="clear" w:color="auto" w:fill="D3C2E8" w:themeFill="accent2" w:themeFillTint="33"/>
      </w:tcPr>
    </w:tblStylePr>
    <w:tblStylePr w:type="neCell">
      <w:tblPr/>
      <w:tcPr>
        <w:tcBorders>
          <w:bottom w:val="single" w:sz="4" w:space="0" w:color="7C49BC" w:themeColor="accent2" w:themeTint="99"/>
        </w:tcBorders>
      </w:tcPr>
    </w:tblStylePr>
    <w:tblStylePr w:type="nwCell">
      <w:tblPr/>
      <w:tcPr>
        <w:tcBorders>
          <w:bottom w:val="single" w:sz="4" w:space="0" w:color="7C49BC" w:themeColor="accent2" w:themeTint="99"/>
        </w:tcBorders>
      </w:tcPr>
    </w:tblStylePr>
    <w:tblStylePr w:type="seCell">
      <w:tblPr/>
      <w:tcPr>
        <w:tcBorders>
          <w:top w:val="single" w:sz="4" w:space="0" w:color="7C49BC" w:themeColor="accent2" w:themeTint="99"/>
        </w:tcBorders>
      </w:tcPr>
    </w:tblStylePr>
    <w:tblStylePr w:type="swCell">
      <w:tblPr/>
      <w:tcPr>
        <w:tcBorders>
          <w:top w:val="single" w:sz="4" w:space="0" w:color="7C49BC" w:themeColor="accent2" w:themeTint="99"/>
        </w:tcBorders>
      </w:tcPr>
    </w:tblStylePr>
  </w:style>
  <w:style w:type="table" w:styleId="GridTable3-Accent1">
    <w:name w:val="Grid Table 3 Accent 1"/>
    <w:basedOn w:val="TableNormal"/>
    <w:uiPriority w:val="48"/>
    <w:rsid w:val="00A350E1"/>
    <w:pPr>
      <w:spacing w:after="0" w:line="240" w:lineRule="auto"/>
    </w:pPr>
    <w:rPr>
      <w:sz w:val="18"/>
    </w:rPr>
    <w:tblPr>
      <w:tblStyleRowBandSize w:val="1"/>
      <w:tblStyleColBandSize w:val="1"/>
      <w:tblBorders>
        <w:top w:val="single" w:sz="4" w:space="0" w:color="B781BF" w:themeColor="accent1" w:themeTint="99"/>
        <w:left w:val="single" w:sz="4" w:space="0" w:color="B781BF" w:themeColor="accent1" w:themeTint="99"/>
        <w:bottom w:val="single" w:sz="4" w:space="0" w:color="B781BF" w:themeColor="accent1" w:themeTint="99"/>
        <w:right w:val="single" w:sz="4" w:space="0" w:color="B781BF" w:themeColor="accent1" w:themeTint="99"/>
        <w:insideH w:val="single" w:sz="4" w:space="0" w:color="B781BF" w:themeColor="accent1" w:themeTint="99"/>
        <w:insideV w:val="single" w:sz="4" w:space="0" w:color="B781B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5E9" w:themeFill="accent1" w:themeFillTint="33"/>
      </w:tcPr>
    </w:tblStylePr>
    <w:tblStylePr w:type="band1Horz">
      <w:tblPr/>
      <w:tcPr>
        <w:shd w:val="clear" w:color="auto" w:fill="E7D5E9" w:themeFill="accent1" w:themeFillTint="33"/>
      </w:tcPr>
    </w:tblStylePr>
    <w:tblStylePr w:type="neCell">
      <w:tblPr/>
      <w:tcPr>
        <w:tcBorders>
          <w:bottom w:val="single" w:sz="4" w:space="0" w:color="B781BF" w:themeColor="accent1" w:themeTint="99"/>
        </w:tcBorders>
      </w:tcPr>
    </w:tblStylePr>
    <w:tblStylePr w:type="nwCell">
      <w:tblPr/>
      <w:tcPr>
        <w:tcBorders>
          <w:bottom w:val="single" w:sz="4" w:space="0" w:color="B781BF" w:themeColor="accent1" w:themeTint="99"/>
        </w:tcBorders>
      </w:tcPr>
    </w:tblStylePr>
    <w:tblStylePr w:type="seCell">
      <w:tblPr/>
      <w:tcPr>
        <w:tcBorders>
          <w:top w:val="single" w:sz="4" w:space="0" w:color="B781BF" w:themeColor="accent1" w:themeTint="99"/>
        </w:tcBorders>
      </w:tcPr>
    </w:tblStylePr>
    <w:tblStylePr w:type="swCell">
      <w:tblPr/>
      <w:tcPr>
        <w:tcBorders>
          <w:top w:val="single" w:sz="4" w:space="0" w:color="B781BF" w:themeColor="accent1" w:themeTint="99"/>
        </w:tcBorders>
      </w:tcPr>
    </w:tblStylePr>
  </w:style>
  <w:style w:type="table" w:styleId="GridTable3">
    <w:name w:val="Grid Table 3"/>
    <w:basedOn w:val="TableNormal"/>
    <w:uiPriority w:val="48"/>
    <w:rsid w:val="00A350E1"/>
    <w:pPr>
      <w:spacing w:after="0" w:line="240" w:lineRule="auto"/>
    </w:pPr>
    <w:rPr>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5">
    <w:name w:val="Grid Table 2 Accent 5"/>
    <w:basedOn w:val="TableNormal"/>
    <w:uiPriority w:val="47"/>
    <w:rsid w:val="00A350E1"/>
    <w:pPr>
      <w:spacing w:after="0" w:line="240" w:lineRule="auto"/>
    </w:pPr>
    <w:rPr>
      <w:sz w:val="18"/>
    </w:rPr>
    <w:tblPr>
      <w:tblStyleRowBandSize w:val="1"/>
      <w:tblStyleColBandSize w:val="1"/>
      <w:tblBorders>
        <w:top w:val="single" w:sz="2" w:space="0" w:color="B7AFAD" w:themeColor="accent5" w:themeTint="99"/>
        <w:bottom w:val="single" w:sz="2" w:space="0" w:color="B7AFAD" w:themeColor="accent5" w:themeTint="99"/>
        <w:insideH w:val="single" w:sz="2" w:space="0" w:color="B7AFAD" w:themeColor="accent5" w:themeTint="99"/>
        <w:insideV w:val="single" w:sz="2" w:space="0" w:color="B7AFAD" w:themeColor="accent5" w:themeTint="99"/>
      </w:tblBorders>
    </w:tblPr>
    <w:tblStylePr w:type="firstRow">
      <w:rPr>
        <w:b/>
        <w:bCs/>
      </w:rPr>
      <w:tblPr/>
      <w:tcPr>
        <w:tcBorders>
          <w:top w:val="nil"/>
          <w:bottom w:val="single" w:sz="12" w:space="0" w:color="B7AFAD" w:themeColor="accent5" w:themeTint="99"/>
          <w:insideH w:val="nil"/>
          <w:insideV w:val="nil"/>
        </w:tcBorders>
        <w:shd w:val="clear" w:color="auto" w:fill="FFFFFF" w:themeFill="background1"/>
      </w:tcPr>
    </w:tblStylePr>
    <w:tblStylePr w:type="lastRow">
      <w:rPr>
        <w:b/>
        <w:bCs/>
      </w:rPr>
      <w:tblPr/>
      <w:tcPr>
        <w:tcBorders>
          <w:top w:val="double" w:sz="2" w:space="0" w:color="B7AFA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4E3" w:themeFill="accent5" w:themeFillTint="33"/>
      </w:tcPr>
    </w:tblStylePr>
    <w:tblStylePr w:type="band1Horz">
      <w:tblPr/>
      <w:tcPr>
        <w:shd w:val="clear" w:color="auto" w:fill="E7E4E3" w:themeFill="accent5" w:themeFillTint="33"/>
      </w:tcPr>
    </w:tblStylePr>
  </w:style>
  <w:style w:type="table" w:styleId="GridTable2-Accent4">
    <w:name w:val="Grid Table 2 Accent 4"/>
    <w:basedOn w:val="TableNormal"/>
    <w:uiPriority w:val="47"/>
    <w:rsid w:val="00A350E1"/>
    <w:pPr>
      <w:spacing w:after="0" w:line="240" w:lineRule="auto"/>
    </w:pPr>
    <w:rPr>
      <w:sz w:val="18"/>
    </w:rPr>
    <w:tblPr>
      <w:tblStyleRowBandSize w:val="1"/>
      <w:tblStyleColBandSize w:val="1"/>
      <w:tblBorders>
        <w:top w:val="single" w:sz="2" w:space="0" w:color="DDB5A9" w:themeColor="accent4" w:themeTint="99"/>
        <w:bottom w:val="single" w:sz="2" w:space="0" w:color="DDB5A9" w:themeColor="accent4" w:themeTint="99"/>
        <w:insideH w:val="single" w:sz="2" w:space="0" w:color="DDB5A9" w:themeColor="accent4" w:themeTint="99"/>
        <w:insideV w:val="single" w:sz="2" w:space="0" w:color="DDB5A9" w:themeColor="accent4" w:themeTint="99"/>
      </w:tblBorders>
    </w:tblPr>
    <w:tblStylePr w:type="firstRow">
      <w:rPr>
        <w:b/>
        <w:bCs/>
      </w:rPr>
      <w:tblPr/>
      <w:tcPr>
        <w:tcBorders>
          <w:top w:val="nil"/>
          <w:bottom w:val="single" w:sz="12" w:space="0" w:color="DDB5A9" w:themeColor="accent4" w:themeTint="99"/>
          <w:insideH w:val="nil"/>
          <w:insideV w:val="nil"/>
        </w:tcBorders>
        <w:shd w:val="clear" w:color="auto" w:fill="FFFFFF" w:themeFill="background1"/>
      </w:tcPr>
    </w:tblStylePr>
    <w:tblStylePr w:type="lastRow">
      <w:rPr>
        <w:b/>
        <w:bCs/>
      </w:rPr>
      <w:tblPr/>
      <w:tcPr>
        <w:tcBorders>
          <w:top w:val="double" w:sz="2" w:space="0" w:color="DDB5A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E6E2" w:themeFill="accent4" w:themeFillTint="33"/>
      </w:tcPr>
    </w:tblStylePr>
    <w:tblStylePr w:type="band1Horz">
      <w:tblPr/>
      <w:tcPr>
        <w:shd w:val="clear" w:color="auto" w:fill="F3E6E2" w:themeFill="accent4" w:themeFillTint="33"/>
      </w:tcPr>
    </w:tblStylePr>
  </w:style>
  <w:style w:type="table" w:styleId="GridTable2-Accent3">
    <w:name w:val="Grid Table 2 Accent 3"/>
    <w:basedOn w:val="TableNormal"/>
    <w:uiPriority w:val="47"/>
    <w:rsid w:val="00A350E1"/>
    <w:pPr>
      <w:spacing w:after="0" w:line="240" w:lineRule="auto"/>
    </w:pPr>
    <w:rPr>
      <w:sz w:val="18"/>
    </w:rPr>
    <w:tblPr>
      <w:tblStyleRowBandSize w:val="1"/>
      <w:tblStyleColBandSize w:val="1"/>
      <w:tblBorders>
        <w:top w:val="single" w:sz="2" w:space="0" w:color="DDC9FF" w:themeColor="accent3" w:themeTint="99"/>
        <w:bottom w:val="single" w:sz="2" w:space="0" w:color="DDC9FF" w:themeColor="accent3" w:themeTint="99"/>
        <w:insideH w:val="single" w:sz="2" w:space="0" w:color="DDC9FF" w:themeColor="accent3" w:themeTint="99"/>
        <w:insideV w:val="single" w:sz="2" w:space="0" w:color="DDC9FF" w:themeColor="accent3" w:themeTint="99"/>
      </w:tblBorders>
    </w:tblPr>
    <w:tblStylePr w:type="firstRow">
      <w:rPr>
        <w:b/>
        <w:bCs/>
      </w:rPr>
      <w:tblPr/>
      <w:tcPr>
        <w:tcBorders>
          <w:top w:val="nil"/>
          <w:bottom w:val="single" w:sz="12" w:space="0" w:color="DDC9FF" w:themeColor="accent3" w:themeTint="99"/>
          <w:insideH w:val="nil"/>
          <w:insideV w:val="nil"/>
        </w:tcBorders>
        <w:shd w:val="clear" w:color="auto" w:fill="FFFFFF" w:themeFill="background1"/>
      </w:tcPr>
    </w:tblStylePr>
    <w:tblStylePr w:type="lastRow">
      <w:rPr>
        <w:b/>
        <w:bCs/>
      </w:rPr>
      <w:tblPr/>
      <w:tcPr>
        <w:tcBorders>
          <w:top w:val="double" w:sz="2" w:space="0" w:color="DDC9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EDFF" w:themeFill="accent3" w:themeFillTint="33"/>
      </w:tcPr>
    </w:tblStylePr>
    <w:tblStylePr w:type="band1Horz">
      <w:tblPr/>
      <w:tcPr>
        <w:shd w:val="clear" w:color="auto" w:fill="F3EDFF" w:themeFill="accent3" w:themeFillTint="33"/>
      </w:tcPr>
    </w:tblStylePr>
  </w:style>
  <w:style w:type="table" w:styleId="GridTable2-Accent2">
    <w:name w:val="Grid Table 2 Accent 2"/>
    <w:basedOn w:val="TableNormal"/>
    <w:uiPriority w:val="47"/>
    <w:rsid w:val="00A350E1"/>
    <w:pPr>
      <w:spacing w:after="0" w:line="240" w:lineRule="auto"/>
    </w:pPr>
    <w:rPr>
      <w:sz w:val="18"/>
    </w:rPr>
    <w:tblPr>
      <w:tblStyleRowBandSize w:val="1"/>
      <w:tblStyleColBandSize w:val="1"/>
      <w:tblBorders>
        <w:top w:val="single" w:sz="2" w:space="0" w:color="7C49BC" w:themeColor="accent2" w:themeTint="99"/>
        <w:bottom w:val="single" w:sz="2" w:space="0" w:color="7C49BC" w:themeColor="accent2" w:themeTint="99"/>
        <w:insideH w:val="single" w:sz="2" w:space="0" w:color="7C49BC" w:themeColor="accent2" w:themeTint="99"/>
        <w:insideV w:val="single" w:sz="2" w:space="0" w:color="7C49BC" w:themeColor="accent2" w:themeTint="99"/>
      </w:tblBorders>
    </w:tblPr>
    <w:tblStylePr w:type="firstRow">
      <w:rPr>
        <w:b/>
        <w:bCs/>
      </w:rPr>
      <w:tblPr/>
      <w:tcPr>
        <w:tcBorders>
          <w:top w:val="nil"/>
          <w:bottom w:val="single" w:sz="12" w:space="0" w:color="7C49BC" w:themeColor="accent2" w:themeTint="99"/>
          <w:insideH w:val="nil"/>
          <w:insideV w:val="nil"/>
        </w:tcBorders>
        <w:shd w:val="clear" w:color="auto" w:fill="FFFFFF" w:themeFill="background1"/>
      </w:tcPr>
    </w:tblStylePr>
    <w:tblStylePr w:type="lastRow">
      <w:rPr>
        <w:b/>
        <w:bCs/>
      </w:rPr>
      <w:tblPr/>
      <w:tcPr>
        <w:tcBorders>
          <w:top w:val="double" w:sz="2" w:space="0" w:color="7C49B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C2E8" w:themeFill="accent2" w:themeFillTint="33"/>
      </w:tcPr>
    </w:tblStylePr>
    <w:tblStylePr w:type="band1Horz">
      <w:tblPr/>
      <w:tcPr>
        <w:shd w:val="clear" w:color="auto" w:fill="D3C2E8" w:themeFill="accent2" w:themeFillTint="33"/>
      </w:tcPr>
    </w:tblStylePr>
  </w:style>
  <w:style w:type="table" w:styleId="GridTable2-Accent1">
    <w:name w:val="Grid Table 2 Accent 1"/>
    <w:basedOn w:val="TableNormal"/>
    <w:uiPriority w:val="47"/>
    <w:rsid w:val="00A350E1"/>
    <w:pPr>
      <w:spacing w:after="0" w:line="240" w:lineRule="auto"/>
    </w:pPr>
    <w:rPr>
      <w:sz w:val="18"/>
    </w:rPr>
    <w:tblPr>
      <w:tblStyleRowBandSize w:val="1"/>
      <w:tblStyleColBandSize w:val="1"/>
      <w:tblBorders>
        <w:top w:val="single" w:sz="2" w:space="0" w:color="B781BF" w:themeColor="accent1" w:themeTint="99"/>
        <w:bottom w:val="single" w:sz="2" w:space="0" w:color="B781BF" w:themeColor="accent1" w:themeTint="99"/>
        <w:insideH w:val="single" w:sz="2" w:space="0" w:color="B781BF" w:themeColor="accent1" w:themeTint="99"/>
        <w:insideV w:val="single" w:sz="2" w:space="0" w:color="B781BF" w:themeColor="accent1" w:themeTint="99"/>
      </w:tblBorders>
    </w:tblPr>
    <w:tblStylePr w:type="firstRow">
      <w:rPr>
        <w:b/>
        <w:bCs/>
      </w:rPr>
      <w:tblPr/>
      <w:tcPr>
        <w:tcBorders>
          <w:top w:val="nil"/>
          <w:bottom w:val="single" w:sz="12" w:space="0" w:color="B781BF" w:themeColor="accent1" w:themeTint="99"/>
          <w:insideH w:val="nil"/>
          <w:insideV w:val="nil"/>
        </w:tcBorders>
        <w:shd w:val="clear" w:color="auto" w:fill="FFFFFF" w:themeFill="background1"/>
      </w:tcPr>
    </w:tblStylePr>
    <w:tblStylePr w:type="lastRow">
      <w:rPr>
        <w:b/>
        <w:bCs/>
      </w:rPr>
      <w:tblPr/>
      <w:tcPr>
        <w:tcBorders>
          <w:top w:val="double" w:sz="2" w:space="0" w:color="B781B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5E9" w:themeFill="accent1" w:themeFillTint="33"/>
      </w:tcPr>
    </w:tblStylePr>
    <w:tblStylePr w:type="band1Horz">
      <w:tblPr/>
      <w:tcPr>
        <w:shd w:val="clear" w:color="auto" w:fill="E7D5E9" w:themeFill="accent1" w:themeFillTint="33"/>
      </w:tcPr>
    </w:tblStylePr>
  </w:style>
  <w:style w:type="table" w:styleId="GridTable2">
    <w:name w:val="Grid Table 2"/>
    <w:basedOn w:val="TableNormal"/>
    <w:uiPriority w:val="47"/>
    <w:rsid w:val="001E09CE"/>
    <w:pPr>
      <w:spacing w:after="0" w:line="240" w:lineRule="auto"/>
    </w:pPr>
    <w:rPr>
      <w:sz w:val="1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5">
    <w:name w:val="Grid Table 1 Light Accent 5"/>
    <w:basedOn w:val="TableNormal"/>
    <w:uiPriority w:val="46"/>
    <w:rsid w:val="001E09CE"/>
    <w:pPr>
      <w:spacing w:after="0" w:line="240" w:lineRule="auto"/>
    </w:pPr>
    <w:rPr>
      <w:sz w:val="18"/>
    </w:rPr>
    <w:tblPr>
      <w:tblStyleRowBandSize w:val="1"/>
      <w:tblStyleColBandSize w:val="1"/>
      <w:tblBorders>
        <w:top w:val="single" w:sz="4" w:space="0" w:color="CFC9C8" w:themeColor="accent5" w:themeTint="66"/>
        <w:left w:val="single" w:sz="4" w:space="0" w:color="CFC9C8" w:themeColor="accent5" w:themeTint="66"/>
        <w:bottom w:val="single" w:sz="4" w:space="0" w:color="CFC9C8" w:themeColor="accent5" w:themeTint="66"/>
        <w:right w:val="single" w:sz="4" w:space="0" w:color="CFC9C8" w:themeColor="accent5" w:themeTint="66"/>
        <w:insideH w:val="single" w:sz="4" w:space="0" w:color="CFC9C8" w:themeColor="accent5" w:themeTint="66"/>
        <w:insideV w:val="single" w:sz="4" w:space="0" w:color="CFC9C8" w:themeColor="accent5" w:themeTint="66"/>
      </w:tblBorders>
    </w:tblPr>
    <w:tblStylePr w:type="firstRow">
      <w:rPr>
        <w:b/>
        <w:bCs/>
      </w:rPr>
      <w:tblPr/>
      <w:tcPr>
        <w:tcBorders>
          <w:bottom w:val="single" w:sz="12" w:space="0" w:color="B7AFAD" w:themeColor="accent5" w:themeTint="99"/>
        </w:tcBorders>
      </w:tcPr>
    </w:tblStylePr>
    <w:tblStylePr w:type="lastRow">
      <w:rPr>
        <w:b/>
        <w:bCs/>
      </w:rPr>
      <w:tblPr/>
      <w:tcPr>
        <w:tcBorders>
          <w:top w:val="double" w:sz="2" w:space="0" w:color="B7AFAD"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E09CE"/>
    <w:pPr>
      <w:spacing w:after="0" w:line="240" w:lineRule="auto"/>
    </w:pPr>
    <w:rPr>
      <w:sz w:val="18"/>
    </w:rPr>
    <w:tblPr>
      <w:tblStyleRowBandSize w:val="1"/>
      <w:tblStyleColBandSize w:val="1"/>
      <w:tblBorders>
        <w:top w:val="single" w:sz="4" w:space="0" w:color="E8CEC5" w:themeColor="accent4" w:themeTint="66"/>
        <w:left w:val="single" w:sz="4" w:space="0" w:color="E8CEC5" w:themeColor="accent4" w:themeTint="66"/>
        <w:bottom w:val="single" w:sz="4" w:space="0" w:color="E8CEC5" w:themeColor="accent4" w:themeTint="66"/>
        <w:right w:val="single" w:sz="4" w:space="0" w:color="E8CEC5" w:themeColor="accent4" w:themeTint="66"/>
        <w:insideH w:val="single" w:sz="4" w:space="0" w:color="E8CEC5" w:themeColor="accent4" w:themeTint="66"/>
        <w:insideV w:val="single" w:sz="4" w:space="0" w:color="E8CEC5" w:themeColor="accent4" w:themeTint="66"/>
      </w:tblBorders>
    </w:tblPr>
    <w:tblStylePr w:type="firstRow">
      <w:rPr>
        <w:b/>
        <w:bCs/>
      </w:rPr>
      <w:tblPr/>
      <w:tcPr>
        <w:tcBorders>
          <w:bottom w:val="single" w:sz="12" w:space="0" w:color="DDB5A9" w:themeColor="accent4" w:themeTint="99"/>
        </w:tcBorders>
      </w:tcPr>
    </w:tblStylePr>
    <w:tblStylePr w:type="lastRow">
      <w:rPr>
        <w:b/>
        <w:bCs/>
      </w:rPr>
      <w:tblPr/>
      <w:tcPr>
        <w:tcBorders>
          <w:top w:val="double" w:sz="2" w:space="0" w:color="DDB5A9"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E09CE"/>
    <w:pPr>
      <w:spacing w:after="0" w:line="240" w:lineRule="auto"/>
    </w:pPr>
    <w:rPr>
      <w:sz w:val="18"/>
    </w:rPr>
    <w:tblPr>
      <w:tblStyleRowBandSize w:val="1"/>
      <w:tblStyleColBandSize w:val="1"/>
      <w:tblBorders>
        <w:top w:val="single" w:sz="4" w:space="0" w:color="E8DBFF" w:themeColor="accent3" w:themeTint="66"/>
        <w:left w:val="single" w:sz="4" w:space="0" w:color="E8DBFF" w:themeColor="accent3" w:themeTint="66"/>
        <w:bottom w:val="single" w:sz="4" w:space="0" w:color="E8DBFF" w:themeColor="accent3" w:themeTint="66"/>
        <w:right w:val="single" w:sz="4" w:space="0" w:color="E8DBFF" w:themeColor="accent3" w:themeTint="66"/>
        <w:insideH w:val="single" w:sz="4" w:space="0" w:color="E8DBFF" w:themeColor="accent3" w:themeTint="66"/>
        <w:insideV w:val="single" w:sz="4" w:space="0" w:color="E8DBFF" w:themeColor="accent3" w:themeTint="66"/>
      </w:tblBorders>
    </w:tblPr>
    <w:tblStylePr w:type="firstRow">
      <w:rPr>
        <w:b/>
        <w:bCs/>
      </w:rPr>
      <w:tblPr/>
      <w:tcPr>
        <w:tcBorders>
          <w:bottom w:val="single" w:sz="12" w:space="0" w:color="DDC9FF" w:themeColor="accent3" w:themeTint="99"/>
        </w:tcBorders>
      </w:tcPr>
    </w:tblStylePr>
    <w:tblStylePr w:type="lastRow">
      <w:rPr>
        <w:b/>
        <w:bCs/>
      </w:rPr>
      <w:tblPr/>
      <w:tcPr>
        <w:tcBorders>
          <w:top w:val="double" w:sz="2" w:space="0" w:color="DDC9FF"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E09CE"/>
    <w:pPr>
      <w:spacing w:after="0" w:line="240" w:lineRule="auto"/>
    </w:pPr>
    <w:rPr>
      <w:sz w:val="18"/>
    </w:rPr>
    <w:tblPr>
      <w:tblStyleRowBandSize w:val="1"/>
      <w:tblStyleColBandSize w:val="1"/>
      <w:tblBorders>
        <w:top w:val="single" w:sz="4" w:space="0" w:color="A786D2" w:themeColor="accent2" w:themeTint="66"/>
        <w:left w:val="single" w:sz="4" w:space="0" w:color="A786D2" w:themeColor="accent2" w:themeTint="66"/>
        <w:bottom w:val="single" w:sz="4" w:space="0" w:color="A786D2" w:themeColor="accent2" w:themeTint="66"/>
        <w:right w:val="single" w:sz="4" w:space="0" w:color="A786D2" w:themeColor="accent2" w:themeTint="66"/>
        <w:insideH w:val="single" w:sz="4" w:space="0" w:color="A786D2" w:themeColor="accent2" w:themeTint="66"/>
        <w:insideV w:val="single" w:sz="4" w:space="0" w:color="A786D2" w:themeColor="accent2" w:themeTint="66"/>
      </w:tblBorders>
    </w:tblPr>
    <w:tblStylePr w:type="firstRow">
      <w:rPr>
        <w:b/>
        <w:bCs/>
      </w:rPr>
      <w:tblPr/>
      <w:tcPr>
        <w:tcBorders>
          <w:bottom w:val="single" w:sz="12" w:space="0" w:color="7C49BC" w:themeColor="accent2" w:themeTint="99"/>
        </w:tcBorders>
      </w:tcPr>
    </w:tblStylePr>
    <w:tblStylePr w:type="lastRow">
      <w:rPr>
        <w:b/>
        <w:bCs/>
      </w:rPr>
      <w:tblPr/>
      <w:tcPr>
        <w:tcBorders>
          <w:top w:val="double" w:sz="2" w:space="0" w:color="7C49BC" w:themeColor="accent2"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553498"/>
    <w:rPr>
      <w:rFonts w:asciiTheme="minorHAnsi" w:eastAsiaTheme="minorEastAsia" w:hAnsiTheme="minorHAnsi" w:cstheme="minorBidi"/>
      <w:sz w:val="22"/>
      <w:szCs w:val="22"/>
    </w:rPr>
  </w:style>
  <w:style w:type="paragraph" w:styleId="Revision">
    <w:name w:val="Revision"/>
    <w:hidden/>
    <w:uiPriority w:val="99"/>
    <w:semiHidden/>
    <w:rsid w:val="00B071C9"/>
    <w:pPr>
      <w:spacing w:after="0" w:line="240" w:lineRule="auto"/>
    </w:pPr>
  </w:style>
  <w:style w:type="character" w:customStyle="1" w:styleId="IntrocopyChar">
    <w:name w:val="Intro copy Char"/>
    <w:basedOn w:val="DefaultParagraphFont"/>
    <w:link w:val="Introcopy"/>
    <w:uiPriority w:val="1"/>
    <w:rsid w:val="008346EB"/>
    <w:rPr>
      <w:color w:val="2E1A47" w:themeColor="text2"/>
      <w:sz w:val="32"/>
      <w:szCs w:val="32"/>
    </w:rPr>
  </w:style>
  <w:style w:type="character" w:styleId="Hyperlink">
    <w:name w:val="Hyperlink"/>
    <w:basedOn w:val="DefaultParagraphFont"/>
    <w:uiPriority w:val="99"/>
    <w:unhideWhenUsed/>
    <w:rsid w:val="00203A43"/>
    <w:rPr>
      <w:color w:val="2E1A47" w:themeColor="hyperlink"/>
      <w:u w:val="single"/>
    </w:rPr>
  </w:style>
  <w:style w:type="character" w:styleId="UnresolvedMention">
    <w:name w:val="Unresolved Mention"/>
    <w:basedOn w:val="DefaultParagraphFont"/>
    <w:uiPriority w:val="99"/>
    <w:semiHidden/>
    <w:unhideWhenUsed/>
    <w:rsid w:val="00203A43"/>
    <w:rPr>
      <w:color w:val="605E5C"/>
      <w:shd w:val="clear" w:color="auto" w:fill="E1DFDD"/>
    </w:rPr>
  </w:style>
  <w:style w:type="character" w:styleId="FollowedHyperlink">
    <w:name w:val="FollowedHyperlink"/>
    <w:basedOn w:val="DefaultParagraphFont"/>
    <w:uiPriority w:val="99"/>
    <w:semiHidden/>
    <w:unhideWhenUsed/>
    <w:rsid w:val="009D79AD"/>
    <w:rPr>
      <w:color w:val="2E1A4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27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gov.au/en/research-reports/agritourism-in-australia" TargetMode="External"/><Relationship Id="rId18" Type="http://schemas.openxmlformats.org/officeDocument/2006/relationships/hyperlink" Target="https://www.austrade.gov.au/en/how-we-can-help-you/grants/supporting-australian-tourism-and-travel-package" TargetMode="External"/><Relationship Id="rId26" Type="http://schemas.openxmlformats.org/officeDocument/2006/relationships/hyperlink" Target="https://www.abs.gov.au/statistics/economy/national-accounts/quarterly-tourism-labour-statistics/latest-release" TargetMode="External"/><Relationship Id="rId39" Type="http://schemas.openxmlformats.org/officeDocument/2006/relationships/footer" Target="footer3.xml"/><Relationship Id="rId21" Type="http://schemas.openxmlformats.org/officeDocument/2006/relationships/hyperlink" Target="https://www.tra.gov.au/en/tourism-industry-analysis/australian-sustainable-tourism-indicators" TargetMode="External"/><Relationship Id="rId34" Type="http://schemas.openxmlformats.org/officeDocument/2006/relationships/header" Target="header1.xm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udget.gov.au/content/factsheets/download/factsheet-backing-small-business.pdf" TargetMode="External"/><Relationship Id="rId20" Type="http://schemas.openxmlformats.org/officeDocument/2006/relationships/hyperlink" Target="https://www.tra.gov.au/en/tourism-statistics/business-events-data" TargetMode="External"/><Relationship Id="rId29" Type="http://schemas.openxmlformats.org/officeDocument/2006/relationships/hyperlink" Target="https://www.tra.gov.au/en/tourism-industry-analysis/tourism-satellite-accounts/national-ts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bc.com.au/wp-content/uploads/2026/06/The-China-Visitor-Economy_L.E.K._May-2026.pdf" TargetMode="External"/><Relationship Id="rId24" Type="http://schemas.openxmlformats.org/officeDocument/2006/relationships/hyperlink" Target="https://www.tra.gov.au/en/tourism-industry-analysis/tourism-satellite-accounts/regional-tsa" TargetMode="External"/><Relationship Id="rId32" Type="http://schemas.openxmlformats.org/officeDocument/2006/relationships/hyperlink" Target="https://www.tra.gov.au/en/profiles/international-market-profiles"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frastructure.gov.au/infrastructure-transport-vehicles/aviation/regional-remote-aviation/remote-airstrip-upgrade" TargetMode="External"/><Relationship Id="rId23" Type="http://schemas.openxmlformats.org/officeDocument/2006/relationships/hyperlink" Target="https://www.tra.gov.au/en/tourism-industry-analysis/tourism-satellite-accounts/state-tsa" TargetMode="External"/><Relationship Id="rId28" Type="http://schemas.openxmlformats.org/officeDocument/2006/relationships/hyperlink" Target="https://www.tra.gov.au/en/tourism-industry-analysis/tourism-forecasts-for-australia"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tra.gov.au/en/tourism-statistics/caravan-and-camping-data" TargetMode="External"/><Relationship Id="rId31" Type="http://schemas.openxmlformats.org/officeDocument/2006/relationships/hyperlink" Target="https://www.tra.gov.au/en/tourism-industry-analysis/tourism-businesses-in-austral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h.gov.au/Parliamentary_Business/Bills_Legislation/bd/bd2526/26bd062" TargetMode="External"/><Relationship Id="rId22" Type="http://schemas.openxmlformats.org/officeDocument/2006/relationships/hyperlink" Target="https://www.tra.gov.au/en/tourism-industry-analysis/tourism-satellite-accounts" TargetMode="External"/><Relationship Id="rId27" Type="http://schemas.openxmlformats.org/officeDocument/2006/relationships/hyperlink" Target="https://www.abs.gov.au/statistics/industry/tourism-and-transport/overseas-arrivals-and-departures-australia/latest-release" TargetMode="External"/><Relationship Id="rId30" Type="http://schemas.openxmlformats.org/officeDocument/2006/relationships/hyperlink" Target="https://www.tra.gov.au/en/research-reports/agritourism-in-australia"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tra.gov.au/en/research-reports/agritourism-in-australia" TargetMode="External"/><Relationship Id="rId17" Type="http://schemas.openxmlformats.org/officeDocument/2006/relationships/hyperlink" Target="https://qualitytourismaustralia.com/wp-content/uploads/2026/05/ATIC-260512-QTF-Budget-Extension.pdf" TargetMode="External"/><Relationship Id="rId25" Type="http://schemas.openxmlformats.org/officeDocument/2006/relationships/hyperlink" Target="https://www.abs.gov.au/statistics/economy/national-accounts/tourism-satellite-account/latest-release" TargetMode="External"/><Relationship Id="rId33" Type="http://schemas.openxmlformats.org/officeDocument/2006/relationships/hyperlink" Target="https://www.tra.gov.au/en/tourism-industry-analysis/quarterly-tourism-labour-force-statistics/qtlfs-dec-2025" TargetMode="External"/><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Branded%20Templates\Austrade%20Brand\US%20Letter\Austrade%20-%20Large%20Masthead%20-%20US%20Letter.dotx" TargetMode="External"/></Relationships>
</file>

<file path=word/theme/theme1.xml><?xml version="1.0" encoding="utf-8"?>
<a:theme xmlns:a="http://schemas.openxmlformats.org/drawingml/2006/main" name="Office Theme">
  <a:themeElements>
    <a:clrScheme name="Austrade colours">
      <a:dk1>
        <a:srgbClr val="000000"/>
      </a:dk1>
      <a:lt1>
        <a:sysClr val="window" lastClr="FFFFFF"/>
      </a:lt1>
      <a:dk2>
        <a:srgbClr val="2E1A47"/>
      </a:dk2>
      <a:lt2>
        <a:srgbClr val="A943DE"/>
      </a:lt2>
      <a:accent1>
        <a:srgbClr val="7A4282"/>
      </a:accent1>
      <a:accent2>
        <a:srgbClr val="2E1A47"/>
      </a:accent2>
      <a:accent3>
        <a:srgbClr val="C7A5FF"/>
      </a:accent3>
      <a:accent4>
        <a:srgbClr val="C78570"/>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c2472de-ddbe-426b-b482-e7ddac910fb3" xsi:nil="true"/>
    <lcf76f155ced4ddcb4097134ff3c332f xmlns="95393cc2-3c37-4544-b041-29172f7360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965A10587E2F4B9C5CBC374F200124" ma:contentTypeVersion="18" ma:contentTypeDescription="Create a new document." ma:contentTypeScope="" ma:versionID="e5de38c2587c1c31c244a0172c292e00">
  <xsd:schema xmlns:xsd="http://www.w3.org/2001/XMLSchema" xmlns:xs="http://www.w3.org/2001/XMLSchema" xmlns:p="http://schemas.microsoft.com/office/2006/metadata/properties" xmlns:ns1="http://schemas.microsoft.com/sharepoint/v3" xmlns:ns2="95393cc2-3c37-4544-b041-29172f73605b" xmlns:ns3="ec2472de-ddbe-426b-b482-e7ddac910fb3" targetNamespace="http://schemas.microsoft.com/office/2006/metadata/properties" ma:root="true" ma:fieldsID="b9623dbf280ce714b1f71a3c264c83cc" ns1:_="" ns2:_="" ns3:_="">
    <xsd:import namespace="http://schemas.microsoft.com/sharepoint/v3"/>
    <xsd:import namespace="95393cc2-3c37-4544-b041-29172f73605b"/>
    <xsd:import namespace="ec2472de-ddbe-426b-b482-e7ddac910fb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393cc2-3c37-4544-b041-29172f736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2472de-ddbe-426b-b482-e7ddac910fb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2f68e8-010b-4d0f-b50c-528e0d0fa449}" ma:internalName="TaxCatchAll" ma:showField="CatchAllData" ma:web="ec2472de-ddbe-426b-b482-e7ddac910fb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E8F25-FAEB-49CC-B73F-3E7990EBC46D}">
  <ds:schemaRefs>
    <ds:schemaRef ds:uri="http://schemas.openxmlformats.org/officeDocument/2006/bibliography"/>
  </ds:schemaRefs>
</ds:datastoreItem>
</file>

<file path=customXml/itemProps2.xml><?xml version="1.0" encoding="utf-8"?>
<ds:datastoreItem xmlns:ds="http://schemas.openxmlformats.org/officeDocument/2006/customXml" ds:itemID="{4F2E9D5E-80EA-45EB-8CF6-C1C9621FB1DD}">
  <ds:schemaRefs>
    <ds:schemaRef ds:uri="http://schemas.microsoft.com/office/2006/metadata/properties"/>
    <ds:schemaRef ds:uri="http://schemas.microsoft.com/office/infopath/2007/PartnerControls"/>
    <ds:schemaRef ds:uri="http://schemas.microsoft.com/sharepoint/v3"/>
    <ds:schemaRef ds:uri="ec2472de-ddbe-426b-b482-e7ddac910fb3"/>
    <ds:schemaRef ds:uri="95393cc2-3c37-4544-b041-29172f73605b"/>
  </ds:schemaRefs>
</ds:datastoreItem>
</file>

<file path=customXml/itemProps3.xml><?xml version="1.0" encoding="utf-8"?>
<ds:datastoreItem xmlns:ds="http://schemas.openxmlformats.org/officeDocument/2006/customXml" ds:itemID="{6C45B8AE-CA32-4CDD-BD4B-7D6BA6B6D55B}">
  <ds:schemaRefs>
    <ds:schemaRef ds:uri="http://schemas.microsoft.com/sharepoint/v3/contenttype/forms"/>
  </ds:schemaRefs>
</ds:datastoreItem>
</file>

<file path=customXml/itemProps4.xml><?xml version="1.0" encoding="utf-8"?>
<ds:datastoreItem xmlns:ds="http://schemas.openxmlformats.org/officeDocument/2006/customXml" ds:itemID="{01EE1BC5-02EF-4578-837E-257262824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393cc2-3c37-4544-b041-29172f73605b"/>
    <ds:schemaRef ds:uri="ec2472de-ddbe-426b-b482-e7ddac910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Austrade - Large Masthead - US Letter.dotx</Template>
  <TotalTime>148</TotalTime>
  <Pages>9</Pages>
  <Words>4718</Words>
  <Characters>26897</Characters>
  <Application>Microsoft Office Word</Application>
  <DocSecurity>0</DocSecurity>
  <Lines>224</Lines>
  <Paragraphs>63</Paragraphs>
  <ScaleCrop>false</ScaleCrop>
  <Company>Australian Trade and Investment Commission</Company>
  <LinksUpToDate>false</LinksUpToDate>
  <CharactersWithSpaces>31552</CharactersWithSpaces>
  <SharedDoc>false</SharedDoc>
  <HLinks>
    <vt:vector size="138" baseType="variant">
      <vt:variant>
        <vt:i4>6029407</vt:i4>
      </vt:variant>
      <vt:variant>
        <vt:i4>66</vt:i4>
      </vt:variant>
      <vt:variant>
        <vt:i4>0</vt:i4>
      </vt:variant>
      <vt:variant>
        <vt:i4>5</vt:i4>
      </vt:variant>
      <vt:variant>
        <vt:lpwstr>https://www.tra.gov.au/en/tourism-industry-analysis/quarterly-tourism-labour-force-statistics/qtlfs-dec-2025</vt:lpwstr>
      </vt:variant>
      <vt:variant>
        <vt:lpwstr/>
      </vt:variant>
      <vt:variant>
        <vt:i4>5767175</vt:i4>
      </vt:variant>
      <vt:variant>
        <vt:i4>63</vt:i4>
      </vt:variant>
      <vt:variant>
        <vt:i4>0</vt:i4>
      </vt:variant>
      <vt:variant>
        <vt:i4>5</vt:i4>
      </vt:variant>
      <vt:variant>
        <vt:lpwstr>https://www.tra.gov.au/en/profiles/international-market-profiles</vt:lpwstr>
      </vt:variant>
      <vt:variant>
        <vt:lpwstr/>
      </vt:variant>
      <vt:variant>
        <vt:i4>7798881</vt:i4>
      </vt:variant>
      <vt:variant>
        <vt:i4>60</vt:i4>
      </vt:variant>
      <vt:variant>
        <vt:i4>0</vt:i4>
      </vt:variant>
      <vt:variant>
        <vt:i4>5</vt:i4>
      </vt:variant>
      <vt:variant>
        <vt:lpwstr>https://www.tra.gov.au/en/tourism-industry-analysis/tourism-businesses-in-australia</vt:lpwstr>
      </vt:variant>
      <vt:variant>
        <vt:lpwstr/>
      </vt:variant>
      <vt:variant>
        <vt:i4>2621492</vt:i4>
      </vt:variant>
      <vt:variant>
        <vt:i4>57</vt:i4>
      </vt:variant>
      <vt:variant>
        <vt:i4>0</vt:i4>
      </vt:variant>
      <vt:variant>
        <vt:i4>5</vt:i4>
      </vt:variant>
      <vt:variant>
        <vt:lpwstr>https://www.tra.gov.au/en/research-reports/agritourism-in-australia</vt:lpwstr>
      </vt:variant>
      <vt:variant>
        <vt:lpwstr/>
      </vt:variant>
      <vt:variant>
        <vt:i4>2687090</vt:i4>
      </vt:variant>
      <vt:variant>
        <vt:i4>54</vt:i4>
      </vt:variant>
      <vt:variant>
        <vt:i4>0</vt:i4>
      </vt:variant>
      <vt:variant>
        <vt:i4>5</vt:i4>
      </vt:variant>
      <vt:variant>
        <vt:lpwstr>https://www.tra.gov.au/en/tourism-industry-analysis/tourism-satellite-accounts/national-tsa</vt:lpwstr>
      </vt:variant>
      <vt:variant>
        <vt:lpwstr/>
      </vt:variant>
      <vt:variant>
        <vt:i4>7209020</vt:i4>
      </vt:variant>
      <vt:variant>
        <vt:i4>51</vt:i4>
      </vt:variant>
      <vt:variant>
        <vt:i4>0</vt:i4>
      </vt:variant>
      <vt:variant>
        <vt:i4>5</vt:i4>
      </vt:variant>
      <vt:variant>
        <vt:lpwstr>https://www.tra.gov.au/en/tourism-industry-analysis/tourism-forecasts-for-australia</vt:lpwstr>
      </vt:variant>
      <vt:variant>
        <vt:lpwstr>ref1</vt:lpwstr>
      </vt:variant>
      <vt:variant>
        <vt:i4>3538986</vt:i4>
      </vt:variant>
      <vt:variant>
        <vt:i4>48</vt:i4>
      </vt:variant>
      <vt:variant>
        <vt:i4>0</vt:i4>
      </vt:variant>
      <vt:variant>
        <vt:i4>5</vt:i4>
      </vt:variant>
      <vt:variant>
        <vt:lpwstr>https://www.abs.gov.au/statistics/industry/tourism-and-transport/overseas-arrivals-and-departures-australia/latest-release</vt:lpwstr>
      </vt:variant>
      <vt:variant>
        <vt:lpwstr/>
      </vt:variant>
      <vt:variant>
        <vt:i4>3080240</vt:i4>
      </vt:variant>
      <vt:variant>
        <vt:i4>45</vt:i4>
      </vt:variant>
      <vt:variant>
        <vt:i4>0</vt:i4>
      </vt:variant>
      <vt:variant>
        <vt:i4>5</vt:i4>
      </vt:variant>
      <vt:variant>
        <vt:lpwstr>https://www.abs.gov.au/statistics/economy/national-accounts/quarterly-tourism-labour-statistics/latest-release</vt:lpwstr>
      </vt:variant>
      <vt:variant>
        <vt:lpwstr/>
      </vt:variant>
      <vt:variant>
        <vt:i4>5177348</vt:i4>
      </vt:variant>
      <vt:variant>
        <vt:i4>42</vt:i4>
      </vt:variant>
      <vt:variant>
        <vt:i4>0</vt:i4>
      </vt:variant>
      <vt:variant>
        <vt:i4>5</vt:i4>
      </vt:variant>
      <vt:variant>
        <vt:lpwstr>https://www.abs.gov.au/statistics/economy/national-accounts/tourism-satellite-account/latest-release</vt:lpwstr>
      </vt:variant>
      <vt:variant>
        <vt:lpwstr/>
      </vt:variant>
      <vt:variant>
        <vt:i4>2490486</vt:i4>
      </vt:variant>
      <vt:variant>
        <vt:i4>39</vt:i4>
      </vt:variant>
      <vt:variant>
        <vt:i4>0</vt:i4>
      </vt:variant>
      <vt:variant>
        <vt:i4>5</vt:i4>
      </vt:variant>
      <vt:variant>
        <vt:lpwstr>https://www.tra.gov.au/en/tourism-industry-analysis/tourism-satellite-accounts/regional-tsa</vt:lpwstr>
      </vt:variant>
      <vt:variant>
        <vt:lpwstr/>
      </vt:variant>
      <vt:variant>
        <vt:i4>65618</vt:i4>
      </vt:variant>
      <vt:variant>
        <vt:i4>36</vt:i4>
      </vt:variant>
      <vt:variant>
        <vt:i4>0</vt:i4>
      </vt:variant>
      <vt:variant>
        <vt:i4>5</vt:i4>
      </vt:variant>
      <vt:variant>
        <vt:lpwstr>https://www.tra.gov.au/en/tourism-industry-analysis/tourism-satellite-accounts/state-tsa</vt:lpwstr>
      </vt:variant>
      <vt:variant>
        <vt:lpwstr/>
      </vt:variant>
      <vt:variant>
        <vt:i4>6488099</vt:i4>
      </vt:variant>
      <vt:variant>
        <vt:i4>33</vt:i4>
      </vt:variant>
      <vt:variant>
        <vt:i4>0</vt:i4>
      </vt:variant>
      <vt:variant>
        <vt:i4>5</vt:i4>
      </vt:variant>
      <vt:variant>
        <vt:lpwstr>https://www.tra.gov.au/en/tourism-industry-analysis/tourism-satellite-accounts</vt:lpwstr>
      </vt:variant>
      <vt:variant>
        <vt:lpwstr/>
      </vt:variant>
      <vt:variant>
        <vt:i4>131072</vt:i4>
      </vt:variant>
      <vt:variant>
        <vt:i4>30</vt:i4>
      </vt:variant>
      <vt:variant>
        <vt:i4>0</vt:i4>
      </vt:variant>
      <vt:variant>
        <vt:i4>5</vt:i4>
      </vt:variant>
      <vt:variant>
        <vt:lpwstr>https://www.tra.gov.au/en/tourism-industry-analysis/australian-sustainable-tourism-indicators</vt:lpwstr>
      </vt:variant>
      <vt:variant>
        <vt:lpwstr/>
      </vt:variant>
      <vt:variant>
        <vt:i4>1703952</vt:i4>
      </vt:variant>
      <vt:variant>
        <vt:i4>27</vt:i4>
      </vt:variant>
      <vt:variant>
        <vt:i4>0</vt:i4>
      </vt:variant>
      <vt:variant>
        <vt:i4>5</vt:i4>
      </vt:variant>
      <vt:variant>
        <vt:lpwstr>https://www.tra.gov.au/en/tourism-statistics/business-events-data</vt:lpwstr>
      </vt:variant>
      <vt:variant>
        <vt:lpwstr/>
      </vt:variant>
      <vt:variant>
        <vt:i4>6029342</vt:i4>
      </vt:variant>
      <vt:variant>
        <vt:i4>24</vt:i4>
      </vt:variant>
      <vt:variant>
        <vt:i4>0</vt:i4>
      </vt:variant>
      <vt:variant>
        <vt:i4>5</vt:i4>
      </vt:variant>
      <vt:variant>
        <vt:lpwstr>https://www.tra.gov.au/en/tourism-statistics/caravan-and-camping-data</vt:lpwstr>
      </vt:variant>
      <vt:variant>
        <vt:lpwstr/>
      </vt:variant>
      <vt:variant>
        <vt:i4>2162720</vt:i4>
      </vt:variant>
      <vt:variant>
        <vt:i4>21</vt:i4>
      </vt:variant>
      <vt:variant>
        <vt:i4>0</vt:i4>
      </vt:variant>
      <vt:variant>
        <vt:i4>5</vt:i4>
      </vt:variant>
      <vt:variant>
        <vt:lpwstr>https://www.austrade.gov.au/en/how-we-can-help-you/grants/supporting-australian-tourism-and-travel-package</vt:lpwstr>
      </vt:variant>
      <vt:variant>
        <vt:lpwstr>ref3</vt:lpwstr>
      </vt:variant>
      <vt:variant>
        <vt:i4>6619198</vt:i4>
      </vt:variant>
      <vt:variant>
        <vt:i4>18</vt:i4>
      </vt:variant>
      <vt:variant>
        <vt:i4>0</vt:i4>
      </vt:variant>
      <vt:variant>
        <vt:i4>5</vt:i4>
      </vt:variant>
      <vt:variant>
        <vt:lpwstr>https://qualitytourismaustralia.com/wp-content/uploads/2026/05/ATIC-260512-QTF-Budget-Extension.pdf</vt:lpwstr>
      </vt:variant>
      <vt:variant>
        <vt:lpwstr/>
      </vt:variant>
      <vt:variant>
        <vt:i4>6553655</vt:i4>
      </vt:variant>
      <vt:variant>
        <vt:i4>15</vt:i4>
      </vt:variant>
      <vt:variant>
        <vt:i4>0</vt:i4>
      </vt:variant>
      <vt:variant>
        <vt:i4>5</vt:i4>
      </vt:variant>
      <vt:variant>
        <vt:lpwstr>https://budget.gov.au/content/factsheets/download/factsheet-backing-small-business.pdf</vt:lpwstr>
      </vt:variant>
      <vt:variant>
        <vt:lpwstr/>
      </vt:variant>
      <vt:variant>
        <vt:i4>131102</vt:i4>
      </vt:variant>
      <vt:variant>
        <vt:i4>12</vt:i4>
      </vt:variant>
      <vt:variant>
        <vt:i4>0</vt:i4>
      </vt:variant>
      <vt:variant>
        <vt:i4>5</vt:i4>
      </vt:variant>
      <vt:variant>
        <vt:lpwstr>https://www.infrastructure.gov.au/infrastructure-transport-vehicles/aviation/regional-remote-aviation/remote-airstrip-upgrade</vt:lpwstr>
      </vt:variant>
      <vt:variant>
        <vt:lpwstr/>
      </vt:variant>
      <vt:variant>
        <vt:i4>3276901</vt:i4>
      </vt:variant>
      <vt:variant>
        <vt:i4>9</vt:i4>
      </vt:variant>
      <vt:variant>
        <vt:i4>0</vt:i4>
      </vt:variant>
      <vt:variant>
        <vt:i4>5</vt:i4>
      </vt:variant>
      <vt:variant>
        <vt:lpwstr>https://www.aph.gov.au/Parliamentary_Business/Bills_Legislation/bd/bd2526/26bd062</vt:lpwstr>
      </vt:variant>
      <vt:variant>
        <vt:lpwstr/>
      </vt:variant>
      <vt:variant>
        <vt:i4>7864352</vt:i4>
      </vt:variant>
      <vt:variant>
        <vt:i4>6</vt:i4>
      </vt:variant>
      <vt:variant>
        <vt:i4>0</vt:i4>
      </vt:variant>
      <vt:variant>
        <vt:i4>5</vt:i4>
      </vt:variant>
      <vt:variant>
        <vt:lpwstr>https://www.tra.gov.au/en/research-reports/agritourism-in-australia</vt:lpwstr>
      </vt:variant>
      <vt:variant>
        <vt:lpwstr>ref5</vt:lpwstr>
      </vt:variant>
      <vt:variant>
        <vt:i4>2621492</vt:i4>
      </vt:variant>
      <vt:variant>
        <vt:i4>3</vt:i4>
      </vt:variant>
      <vt:variant>
        <vt:i4>0</vt:i4>
      </vt:variant>
      <vt:variant>
        <vt:i4>5</vt:i4>
      </vt:variant>
      <vt:variant>
        <vt:lpwstr>https://www.tra.gov.au/en/research-reports/agritourism-in-australia</vt:lpwstr>
      </vt:variant>
      <vt:variant>
        <vt:lpwstr/>
      </vt:variant>
      <vt:variant>
        <vt:i4>2818167</vt:i4>
      </vt:variant>
      <vt:variant>
        <vt:i4>0</vt:i4>
      </vt:variant>
      <vt:variant>
        <vt:i4>0</vt:i4>
      </vt:variant>
      <vt:variant>
        <vt:i4>5</vt:i4>
      </vt:variant>
      <vt:variant>
        <vt:lpwstr>https://acbc.com.au/wp-content/uploads/2026/06/The-China-Visitor-Economy_L.E.K._May-2026.pdf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Austrade - Large masthead template (US Letter)</dc:title>
  <dc:subject/>
  <dc:creator>Vivian-Monje [Melbourne]</dc:creator>
  <cp:keywords>Template</cp:keywords>
  <dc:description/>
  <cp:lastModifiedBy>Tim-Myatt [Brisbane]</cp:lastModifiedBy>
  <cp:revision>23</cp:revision>
  <cp:lastPrinted>2026-03-21T21:30:00Z</cp:lastPrinted>
  <dcterms:created xsi:type="dcterms:W3CDTF">2026-07-10T01:58:00Z</dcterms:created>
  <dcterms:modified xsi:type="dcterms:W3CDTF">2026-07-14T03:29:00Z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0x0101000F965A10587E2F4B9C5CBC374F200124</vt:lpwstr>
  </property>
  <property fmtid="{D5CDD505-2E9C-101B-9397-08002B2CF9AE}" pid="3" name="_dlc_DocIdItemGuid">
    <vt:lpwstr>ab5c0b2a-b273-4923-ab47-99f709318103</vt:lpwstr>
  </property>
  <property fmtid="{D5CDD505-2E9C-101B-9397-08002B2CF9AE}" pid="4" name="MediaServiceImageTags">
    <vt:lpwstr/>
  </property>
  <property fmtid="{D5CDD505-2E9C-101B-9397-08002B2CF9AE}" pid="5" name="ClassificationContentMarkingHeaderShapeIds">
    <vt:lpwstr>197708c0,26b9c711,36a05a14</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15b49832,65c020fc,5fb90a9a</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2160a83-df68-4146-9dd5-ccaae79426db_Enabled">
    <vt:lpwstr>true</vt:lpwstr>
  </property>
  <property fmtid="{D5CDD505-2E9C-101B-9397-08002B2CF9AE}" pid="12" name="MSIP_Label_72160a83-df68-4146-9dd5-ccaae79426db_SetDate">
    <vt:lpwstr>2025-09-01T01:43:12Z</vt:lpwstr>
  </property>
  <property fmtid="{D5CDD505-2E9C-101B-9397-08002B2CF9AE}" pid="13" name="MSIP_Label_72160a83-df68-4146-9dd5-ccaae79426db_Method">
    <vt:lpwstr>Privileged</vt:lpwstr>
  </property>
  <property fmtid="{D5CDD505-2E9C-101B-9397-08002B2CF9AE}" pid="14" name="MSIP_Label_72160a83-df68-4146-9dd5-ccaae79426db_Name">
    <vt:lpwstr>OFFICIAL</vt:lpwstr>
  </property>
  <property fmtid="{D5CDD505-2E9C-101B-9397-08002B2CF9AE}" pid="15" name="MSIP_Label_72160a83-df68-4146-9dd5-ccaae79426db_SiteId">
    <vt:lpwstr>c6ba7d27-a97a-40a4-82e4-4d23131de9f4</vt:lpwstr>
  </property>
  <property fmtid="{D5CDD505-2E9C-101B-9397-08002B2CF9AE}" pid="16" name="MSIP_Label_72160a83-df68-4146-9dd5-ccaae79426db_ActionId">
    <vt:lpwstr>792257a1-bee3-4514-a0c7-a364d0e63870</vt:lpwstr>
  </property>
  <property fmtid="{D5CDD505-2E9C-101B-9397-08002B2CF9AE}" pid="17" name="MSIP_Label_72160a83-df68-4146-9dd5-ccaae79426db_ContentBits">
    <vt:lpwstr>3</vt:lpwstr>
  </property>
  <property fmtid="{D5CDD505-2E9C-101B-9397-08002B2CF9AE}" pid="18" name="MSIP_Label_72160a83-df68-4146-9dd5-ccaae79426db_Tag">
    <vt:lpwstr>10, 0, 1, 1</vt:lpwstr>
  </property>
</Properties>
</file>