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95711" w14:textId="785A85D6" w:rsidR="0053370A" w:rsidRPr="0028383B" w:rsidRDefault="00E330CD" w:rsidP="00143469">
      <w:pPr>
        <w:pStyle w:val="Heading1"/>
        <w:keepNext w:val="0"/>
        <w:keepLines w:val="0"/>
        <w:pageBreakBefore w:val="0"/>
        <w:spacing w:before="240" w:after="240"/>
        <w:rPr>
          <w:rFonts w:eastAsiaTheme="minorHAnsi"/>
          <w:bCs w:val="0"/>
          <w:szCs w:val="48"/>
          <w:lang w:eastAsia="en-US"/>
        </w:rPr>
      </w:pPr>
      <w:r w:rsidRPr="0028383B">
        <w:rPr>
          <w:rFonts w:eastAsiaTheme="minorHAnsi"/>
          <w:bCs w:val="0"/>
          <w:szCs w:val="48"/>
          <w:lang w:eastAsia="en-US"/>
        </w:rPr>
        <w:t>THRIVE 2030 Action Pla</w:t>
      </w:r>
      <w:r w:rsidR="0053370A" w:rsidRPr="0028383B">
        <w:rPr>
          <w:rFonts w:eastAsiaTheme="minorHAnsi"/>
          <w:bCs w:val="0"/>
          <w:szCs w:val="48"/>
          <w:lang w:eastAsia="en-US"/>
        </w:rPr>
        <w:t>n</w:t>
      </w:r>
      <w:r w:rsidR="00EB36DD" w:rsidRPr="0028383B">
        <w:rPr>
          <w:rFonts w:eastAsiaTheme="minorHAnsi"/>
          <w:bCs w:val="0"/>
          <w:szCs w:val="48"/>
          <w:lang w:eastAsia="en-US"/>
        </w:rPr>
        <w:t xml:space="preserve"> – Progress status report</w:t>
      </w:r>
    </w:p>
    <w:p w14:paraId="562628AF" w14:textId="7E8133D0" w:rsidR="00D10586" w:rsidRPr="00C25869" w:rsidRDefault="008576C5" w:rsidP="008346EB">
      <w:pPr>
        <w:pStyle w:val="Introcopy"/>
        <w:spacing w:after="200"/>
        <w:rPr>
          <w:color w:val="993C94"/>
          <w:lang w:eastAsia="en-US"/>
        </w:rPr>
      </w:pPr>
      <w:r w:rsidRPr="74CBCF4F">
        <w:rPr>
          <w:color w:val="993C94"/>
          <w:lang w:eastAsia="en-US"/>
        </w:rPr>
        <w:t>Report</w:t>
      </w:r>
      <w:r w:rsidR="00A8427E">
        <w:rPr>
          <w:color w:val="993C94"/>
          <w:lang w:eastAsia="en-US"/>
        </w:rPr>
        <w:t>ing period</w:t>
      </w:r>
      <w:r w:rsidR="2119B0F2" w:rsidRPr="74CBCF4F">
        <w:rPr>
          <w:color w:val="993C94"/>
          <w:lang w:eastAsia="en-US"/>
        </w:rPr>
        <w:t xml:space="preserve">: </w:t>
      </w:r>
      <w:r w:rsidR="00A8427E">
        <w:rPr>
          <w:color w:val="993C94"/>
          <w:lang w:eastAsia="en-US"/>
        </w:rPr>
        <w:t>1 July – 30 September 2026</w:t>
      </w:r>
    </w:p>
    <w:tbl>
      <w:tblPr>
        <w:tblStyle w:val="ListTable3-Accent5"/>
        <w:tblW w:w="19420" w:type="dxa"/>
        <w:tblInd w:w="-8" w:type="dxa"/>
        <w:tblBorders>
          <w:top w:val="single" w:sz="6" w:space="0" w:color="auto"/>
          <w:left w:val="single" w:sz="6" w:space="0" w:color="auto"/>
          <w:bottom w:val="single" w:sz="6" w:space="0" w:color="auto"/>
          <w:right w:val="single" w:sz="6" w:space="0" w:color="auto"/>
        </w:tblBorders>
        <w:tblLayout w:type="fixed"/>
        <w:tblLook w:val="0420" w:firstRow="1" w:lastRow="0" w:firstColumn="0" w:lastColumn="0" w:noHBand="0" w:noVBand="1"/>
      </w:tblPr>
      <w:tblGrid>
        <w:gridCol w:w="971"/>
        <w:gridCol w:w="5125"/>
        <w:gridCol w:w="1984"/>
        <w:gridCol w:w="5779"/>
        <w:gridCol w:w="5561"/>
      </w:tblGrid>
      <w:tr w:rsidR="0015490A" w:rsidRPr="006B6723" w14:paraId="5D34B81E" w14:textId="62E04C27" w:rsidTr="0015490A">
        <w:trPr>
          <w:cnfStyle w:val="100000000000" w:firstRow="1" w:lastRow="0" w:firstColumn="0" w:lastColumn="0" w:oddVBand="0" w:evenVBand="0" w:oddHBand="0" w:evenHBand="0" w:firstRowFirstColumn="0" w:firstRowLastColumn="0" w:lastRowFirstColumn="0" w:lastRowLastColumn="0"/>
          <w:trHeight w:val="699"/>
          <w:tblHeader/>
        </w:trPr>
        <w:tc>
          <w:tcPr>
            <w:tcW w:w="971" w:type="dxa"/>
            <w:tcBorders>
              <w:top w:val="single" w:sz="6" w:space="0" w:color="auto"/>
              <w:left w:val="single" w:sz="6" w:space="0" w:color="auto"/>
              <w:bottom w:val="single" w:sz="6" w:space="0" w:color="auto"/>
              <w:right w:val="single" w:sz="6" w:space="0" w:color="auto"/>
            </w:tcBorders>
            <w:shd w:val="clear" w:color="auto" w:fill="893C94"/>
            <w:tcMar>
              <w:left w:w="105" w:type="dxa"/>
              <w:right w:w="105" w:type="dxa"/>
            </w:tcMar>
            <w:vAlign w:val="center"/>
          </w:tcPr>
          <w:p w14:paraId="1CE5C5D9" w14:textId="589E4747" w:rsidR="0015490A" w:rsidRPr="006B6723" w:rsidRDefault="0015490A" w:rsidP="00530A4C">
            <w:pPr>
              <w:pStyle w:val="Table-heading1"/>
              <w:spacing w:before="60" w:after="60" w:line="240" w:lineRule="auto"/>
              <w:jc w:val="center"/>
              <w:rPr>
                <w:rFonts w:eastAsia="Verdana" w:cs="Verdana"/>
                <w:b/>
                <w:bCs/>
                <w:sz w:val="20"/>
                <w:szCs w:val="20"/>
              </w:rPr>
            </w:pPr>
            <w:r w:rsidRPr="006B6723">
              <w:rPr>
                <w:rFonts w:eastAsia="Verdana" w:cs="Verdana"/>
                <w:b/>
                <w:bCs/>
                <w:sz w:val="20"/>
                <w:szCs w:val="20"/>
                <w:lang w:val="en-AU"/>
              </w:rPr>
              <w:t>Action #</w:t>
            </w:r>
          </w:p>
        </w:tc>
        <w:tc>
          <w:tcPr>
            <w:tcW w:w="5125" w:type="dxa"/>
            <w:tcBorders>
              <w:top w:val="single" w:sz="6" w:space="0" w:color="auto"/>
              <w:left w:val="single" w:sz="6" w:space="0" w:color="auto"/>
              <w:bottom w:val="single" w:sz="6" w:space="0" w:color="auto"/>
              <w:right w:val="single" w:sz="6" w:space="0" w:color="auto"/>
            </w:tcBorders>
            <w:shd w:val="clear" w:color="auto" w:fill="893C94"/>
            <w:tcMar>
              <w:left w:w="105" w:type="dxa"/>
              <w:right w:w="105" w:type="dxa"/>
            </w:tcMar>
            <w:vAlign w:val="center"/>
          </w:tcPr>
          <w:p w14:paraId="35E3D167" w14:textId="686CAE6D" w:rsidR="0015490A" w:rsidRPr="006B6723" w:rsidRDefault="0015490A" w:rsidP="00530A4C">
            <w:pPr>
              <w:pStyle w:val="Table-heading1"/>
              <w:spacing w:before="60" w:after="60" w:line="240" w:lineRule="auto"/>
              <w:jc w:val="center"/>
              <w:rPr>
                <w:rFonts w:eastAsia="Verdana" w:cs="Verdana"/>
                <w:b/>
                <w:bCs/>
                <w:sz w:val="20"/>
                <w:szCs w:val="20"/>
              </w:rPr>
            </w:pPr>
            <w:r w:rsidRPr="006B6723">
              <w:rPr>
                <w:rFonts w:eastAsia="Verdana" w:cs="Verdana"/>
                <w:b/>
                <w:bCs/>
                <w:sz w:val="20"/>
                <w:szCs w:val="20"/>
                <w:lang w:val="en-AU"/>
              </w:rPr>
              <w:t>Action details</w:t>
            </w:r>
          </w:p>
        </w:tc>
        <w:tc>
          <w:tcPr>
            <w:tcW w:w="1984" w:type="dxa"/>
            <w:tcBorders>
              <w:top w:val="single" w:sz="6" w:space="0" w:color="auto"/>
              <w:left w:val="single" w:sz="6" w:space="0" w:color="auto"/>
              <w:bottom w:val="single" w:sz="6" w:space="0" w:color="auto"/>
              <w:right w:val="single" w:sz="6" w:space="0" w:color="auto"/>
            </w:tcBorders>
            <w:shd w:val="clear" w:color="auto" w:fill="893C94"/>
            <w:tcMar>
              <w:left w:w="105" w:type="dxa"/>
              <w:right w:w="105" w:type="dxa"/>
            </w:tcMar>
            <w:vAlign w:val="center"/>
          </w:tcPr>
          <w:p w14:paraId="7FE51F66" w14:textId="4E7AD6CE" w:rsidR="0015490A" w:rsidRPr="006B6723" w:rsidRDefault="0015490A" w:rsidP="00530A4C">
            <w:pPr>
              <w:pStyle w:val="Table-heading1"/>
              <w:spacing w:before="60" w:after="60" w:line="240" w:lineRule="auto"/>
              <w:jc w:val="center"/>
              <w:rPr>
                <w:rFonts w:eastAsia="Verdana" w:cs="Verdana"/>
                <w:b/>
                <w:bCs/>
                <w:sz w:val="20"/>
                <w:szCs w:val="20"/>
              </w:rPr>
            </w:pPr>
            <w:r w:rsidRPr="006B6723">
              <w:rPr>
                <w:rFonts w:eastAsia="Verdana" w:cs="Verdana"/>
                <w:b/>
                <w:bCs/>
                <w:sz w:val="20"/>
                <w:szCs w:val="20"/>
              </w:rPr>
              <w:t xml:space="preserve">Lead agency </w:t>
            </w:r>
            <w:r w:rsidRPr="006B6723">
              <w:rPr>
                <w:rFonts w:eastAsia="Verdana" w:cs="Verdana"/>
                <w:b/>
                <w:bCs/>
                <w:i/>
                <w:iCs/>
                <w:sz w:val="20"/>
                <w:szCs w:val="20"/>
              </w:rPr>
              <w:t>(Partner)</w:t>
            </w:r>
          </w:p>
        </w:tc>
        <w:tc>
          <w:tcPr>
            <w:tcW w:w="5779" w:type="dxa"/>
            <w:tcBorders>
              <w:top w:val="single" w:sz="6" w:space="0" w:color="auto"/>
              <w:left w:val="single" w:sz="6" w:space="0" w:color="auto"/>
              <w:bottom w:val="single" w:sz="6" w:space="0" w:color="auto"/>
              <w:right w:val="single" w:sz="6" w:space="0" w:color="auto"/>
            </w:tcBorders>
            <w:shd w:val="clear" w:color="auto" w:fill="893C94"/>
            <w:vAlign w:val="center"/>
          </w:tcPr>
          <w:p w14:paraId="782B40F8" w14:textId="161DACF0" w:rsidR="0015490A" w:rsidRPr="006B6723" w:rsidRDefault="0015490A" w:rsidP="00530A4C">
            <w:pPr>
              <w:pStyle w:val="Table-heading1"/>
              <w:spacing w:before="60" w:after="60" w:line="240" w:lineRule="auto"/>
              <w:jc w:val="center"/>
              <w:rPr>
                <w:rFonts w:eastAsia="Verdana" w:cs="Verdana"/>
                <w:sz w:val="20"/>
                <w:szCs w:val="20"/>
                <w:lang w:val="en-AU"/>
              </w:rPr>
            </w:pPr>
            <w:r w:rsidRPr="006B6723">
              <w:rPr>
                <w:rFonts w:eastAsia="Verdana" w:cs="Verdana"/>
                <w:b/>
                <w:bCs/>
                <w:sz w:val="20"/>
                <w:szCs w:val="20"/>
              </w:rPr>
              <w:t>Progress update</w:t>
            </w:r>
          </w:p>
        </w:tc>
        <w:tc>
          <w:tcPr>
            <w:tcW w:w="5561" w:type="dxa"/>
            <w:tcBorders>
              <w:top w:val="single" w:sz="6" w:space="0" w:color="auto"/>
              <w:left w:val="single" w:sz="6" w:space="0" w:color="auto"/>
              <w:bottom w:val="single" w:sz="6" w:space="0" w:color="auto"/>
              <w:right w:val="single" w:sz="6" w:space="0" w:color="auto"/>
            </w:tcBorders>
            <w:shd w:val="clear" w:color="auto" w:fill="893C94"/>
            <w:vAlign w:val="center"/>
          </w:tcPr>
          <w:p w14:paraId="5F7B2699" w14:textId="423784C8" w:rsidR="0015490A" w:rsidRPr="006B6723" w:rsidRDefault="0015490A" w:rsidP="00530A4C">
            <w:pPr>
              <w:pStyle w:val="Table-heading1"/>
              <w:spacing w:before="60" w:after="60" w:line="240" w:lineRule="auto"/>
              <w:jc w:val="center"/>
              <w:rPr>
                <w:rFonts w:eastAsia="Verdana" w:cs="Verdana"/>
                <w:sz w:val="20"/>
                <w:szCs w:val="20"/>
                <w:lang w:val="en-AU"/>
              </w:rPr>
            </w:pPr>
            <w:r w:rsidRPr="006B6723">
              <w:rPr>
                <w:rFonts w:eastAsia="Verdana" w:cs="Verdana"/>
                <w:b/>
                <w:bCs/>
                <w:sz w:val="20"/>
                <w:szCs w:val="20"/>
              </w:rPr>
              <w:t>Next steps</w:t>
            </w:r>
          </w:p>
        </w:tc>
      </w:tr>
      <w:tr w:rsidR="0015490A" w:rsidRPr="006B6723" w14:paraId="122F6F3A" w14:textId="3F439FB9" w:rsidTr="0015490A">
        <w:trPr>
          <w:cnfStyle w:val="000000100000" w:firstRow="0" w:lastRow="0" w:firstColumn="0" w:lastColumn="0" w:oddVBand="0" w:evenVBand="0" w:oddHBand="1" w:evenHBand="0" w:firstRowFirstColumn="0" w:firstRowLastColumn="0" w:lastRowFirstColumn="0" w:lastRowLastColumn="0"/>
          <w:trHeight w:val="300"/>
        </w:trPr>
        <w:tc>
          <w:tcPr>
            <w:tcW w:w="971" w:type="dxa"/>
            <w:tcBorders>
              <w:top w:val="single" w:sz="6" w:space="0" w:color="auto"/>
              <w:left w:val="single" w:sz="6" w:space="0" w:color="auto"/>
              <w:bottom w:val="single" w:sz="6" w:space="0" w:color="auto"/>
              <w:right w:val="single" w:sz="6" w:space="0" w:color="auto"/>
            </w:tcBorders>
            <w:tcMar>
              <w:left w:w="105" w:type="dxa"/>
              <w:right w:w="105" w:type="dxa"/>
            </w:tcMar>
          </w:tcPr>
          <w:p w14:paraId="77FEB216" w14:textId="4B21494E" w:rsidR="0015490A" w:rsidRPr="006B6723" w:rsidRDefault="0015490A" w:rsidP="00530A4C">
            <w:pPr>
              <w:spacing w:before="60" w:after="60" w:line="240" w:lineRule="auto"/>
              <w:jc w:val="center"/>
              <w:rPr>
                <w:rFonts w:eastAsia="Verdana" w:cs="Verdana"/>
                <w:color w:val="000000" w:themeColor="text1"/>
                <w:sz w:val="20"/>
              </w:rPr>
            </w:pPr>
            <w:r w:rsidRPr="002E1BE0">
              <w:rPr>
                <w:rStyle w:val="normaltextrun"/>
                <w:rFonts w:eastAsia="Verdana" w:cs="Verdana"/>
                <w:color w:val="000000" w:themeColor="text1"/>
                <w:sz w:val="20"/>
                <w:szCs w:val="20"/>
              </w:rPr>
              <w:t>1.1</w:t>
            </w:r>
          </w:p>
        </w:tc>
        <w:tc>
          <w:tcPr>
            <w:tcW w:w="5125" w:type="dxa"/>
            <w:tcBorders>
              <w:top w:val="single" w:sz="6" w:space="0" w:color="auto"/>
              <w:left w:val="single" w:sz="6" w:space="0" w:color="auto"/>
              <w:bottom w:val="single" w:sz="6" w:space="0" w:color="auto"/>
              <w:right w:val="single" w:sz="6" w:space="0" w:color="auto"/>
            </w:tcBorders>
            <w:tcMar>
              <w:left w:w="105" w:type="dxa"/>
              <w:right w:w="105" w:type="dxa"/>
            </w:tcMar>
          </w:tcPr>
          <w:p w14:paraId="0102E08B" w14:textId="468BC5DE" w:rsidR="0015490A" w:rsidRPr="006B6723" w:rsidRDefault="0015490A" w:rsidP="00530A4C">
            <w:pPr>
              <w:spacing w:before="60" w:after="60" w:line="240" w:lineRule="auto"/>
              <w:rPr>
                <w:sz w:val="20"/>
              </w:rPr>
            </w:pPr>
            <w:r w:rsidRPr="006B6723">
              <w:rPr>
                <w:sz w:val="20"/>
              </w:rPr>
              <w:t>Delivering the Tourism Australia Demand Strategy 2035 and the next stage of Tourism Australia’s Come and Say G’day campaign, with $130 million invested to encourage international travellers to book an Australian holiday.</w:t>
            </w:r>
          </w:p>
        </w:tc>
        <w:tc>
          <w:tcPr>
            <w:tcW w:w="1984" w:type="dxa"/>
            <w:tcBorders>
              <w:top w:val="single" w:sz="6" w:space="0" w:color="auto"/>
              <w:left w:val="single" w:sz="6" w:space="0" w:color="auto"/>
              <w:bottom w:val="single" w:sz="6" w:space="0" w:color="auto"/>
              <w:right w:val="single" w:sz="6" w:space="0" w:color="auto"/>
            </w:tcBorders>
            <w:tcMar>
              <w:left w:w="105" w:type="dxa"/>
              <w:right w:w="105" w:type="dxa"/>
            </w:tcMar>
          </w:tcPr>
          <w:p w14:paraId="5743DB92" w14:textId="41620B7F" w:rsidR="0015490A" w:rsidRPr="006B6723" w:rsidRDefault="0015490A" w:rsidP="00530A4C">
            <w:pPr>
              <w:spacing w:before="60" w:after="60" w:line="240" w:lineRule="auto"/>
              <w:rPr>
                <w:sz w:val="20"/>
              </w:rPr>
            </w:pPr>
            <w:r w:rsidRPr="006B6723">
              <w:rPr>
                <w:sz w:val="20"/>
              </w:rPr>
              <w:t>Tourism Australia</w:t>
            </w:r>
          </w:p>
          <w:p w14:paraId="666CF35C" w14:textId="7502F6F5" w:rsidR="0015490A" w:rsidRPr="006B6723" w:rsidRDefault="0015490A" w:rsidP="00530A4C">
            <w:pPr>
              <w:spacing w:before="60" w:after="60" w:line="240" w:lineRule="auto"/>
              <w:rPr>
                <w:sz w:val="20"/>
              </w:rPr>
            </w:pPr>
          </w:p>
        </w:tc>
        <w:tc>
          <w:tcPr>
            <w:tcW w:w="5779" w:type="dxa"/>
            <w:tcBorders>
              <w:top w:val="single" w:sz="6" w:space="0" w:color="auto"/>
              <w:left w:val="single" w:sz="6" w:space="0" w:color="auto"/>
              <w:bottom w:val="single" w:sz="6" w:space="0" w:color="auto"/>
              <w:right w:val="single" w:sz="6" w:space="0" w:color="auto"/>
            </w:tcBorders>
          </w:tcPr>
          <w:p w14:paraId="24E6AD78" w14:textId="09B03060" w:rsidR="0015490A" w:rsidRPr="004133EB" w:rsidRDefault="0015490A" w:rsidP="00DF5CB5">
            <w:pPr>
              <w:spacing w:before="60" w:after="60" w:line="240" w:lineRule="auto"/>
              <w:rPr>
                <w:rFonts w:eastAsia="Verdana" w:cs="Verdana"/>
                <w:sz w:val="20"/>
              </w:rPr>
            </w:pPr>
            <w:hyperlink r:id="rId11" w:history="1">
              <w:r w:rsidRPr="009231F4">
                <w:rPr>
                  <w:rStyle w:val="Hyperlink"/>
                  <w:rFonts w:eastAsia="Verdana" w:cs="Verdana"/>
                  <w:sz w:val="20"/>
                </w:rPr>
                <w:t>Tourism 2035</w:t>
              </w:r>
            </w:hyperlink>
            <w:r w:rsidRPr="004133EB">
              <w:rPr>
                <w:rFonts w:eastAsia="Verdana" w:cs="Verdana"/>
                <w:sz w:val="20"/>
              </w:rPr>
              <w:t xml:space="preserve"> launched in August 2026. The strategy is Tourism Australia’s 10-year plan to boost international tourism competitiveness and grow high-yield visitor spending.</w:t>
            </w:r>
          </w:p>
          <w:p w14:paraId="4099ACC9" w14:textId="77777777" w:rsidR="0015490A" w:rsidRPr="00296A73" w:rsidRDefault="0015490A" w:rsidP="00FA5617">
            <w:pPr>
              <w:numPr>
                <w:ilvl w:val="0"/>
                <w:numId w:val="9"/>
              </w:numPr>
              <w:spacing w:before="60" w:after="60" w:line="240" w:lineRule="auto"/>
              <w:rPr>
                <w:rFonts w:eastAsia="Verdana" w:cs="Verdana"/>
                <w:sz w:val="20"/>
                <w:szCs w:val="22"/>
              </w:rPr>
            </w:pPr>
            <w:r w:rsidRPr="00296A73">
              <w:rPr>
                <w:rFonts w:eastAsia="Verdana" w:cs="Verdana"/>
                <w:sz w:val="20"/>
                <w:szCs w:val="22"/>
              </w:rPr>
              <w:t>Tourism 2035 outlines a goal to reach international visitor expenditure of between $61 billion and $69 billion by 2035, focused on leisure and business events travellers.</w:t>
            </w:r>
          </w:p>
          <w:p w14:paraId="62866CD7" w14:textId="5836A04C" w:rsidR="0015490A" w:rsidRPr="00296A73" w:rsidRDefault="0015490A" w:rsidP="00FA5617">
            <w:pPr>
              <w:numPr>
                <w:ilvl w:val="0"/>
                <w:numId w:val="9"/>
              </w:numPr>
              <w:spacing w:before="60" w:after="60" w:line="240" w:lineRule="auto"/>
              <w:rPr>
                <w:rFonts w:eastAsia="Verdana" w:cs="Verdana"/>
                <w:sz w:val="20"/>
                <w:szCs w:val="22"/>
              </w:rPr>
            </w:pPr>
            <w:r w:rsidRPr="00296A73">
              <w:rPr>
                <w:rFonts w:eastAsia="Verdana" w:cs="Verdana"/>
                <w:sz w:val="20"/>
                <w:szCs w:val="22"/>
              </w:rPr>
              <w:t xml:space="preserve">The four strategic priorities in the first horizon of the strategy (2026-28) are marketing to humans and machines; showcase our unrivalled breadth; capitalise on the Major Events Runway; and define a distinctive luxury positioning for Australia. </w:t>
            </w:r>
          </w:p>
          <w:p w14:paraId="46FC9567" w14:textId="77777777" w:rsidR="0015490A" w:rsidRDefault="0015490A" w:rsidP="00734CED">
            <w:pPr>
              <w:spacing w:before="60" w:after="60" w:line="240" w:lineRule="auto"/>
              <w:rPr>
                <w:rFonts w:eastAsia="Verdana" w:cs="Verdana"/>
                <w:sz w:val="20"/>
              </w:rPr>
            </w:pPr>
            <w:r w:rsidRPr="006325C3">
              <w:rPr>
                <w:rFonts w:eastAsia="Verdana" w:cs="Verdana"/>
                <w:sz w:val="20"/>
              </w:rPr>
              <w:t xml:space="preserve">To support </w:t>
            </w:r>
            <w:r>
              <w:rPr>
                <w:rFonts w:eastAsia="Verdana" w:cs="Verdana"/>
                <w:sz w:val="20"/>
              </w:rPr>
              <w:t>the</w:t>
            </w:r>
            <w:r w:rsidRPr="006325C3">
              <w:rPr>
                <w:rFonts w:eastAsia="Verdana" w:cs="Verdana"/>
                <w:sz w:val="20"/>
              </w:rPr>
              <w:t xml:space="preserve"> strategic priority of </w:t>
            </w:r>
            <w:r>
              <w:rPr>
                <w:rFonts w:eastAsia="Verdana" w:cs="Verdana"/>
                <w:sz w:val="20"/>
              </w:rPr>
              <w:t>m</w:t>
            </w:r>
            <w:r w:rsidRPr="006325C3">
              <w:rPr>
                <w:rFonts w:eastAsia="Verdana" w:cs="Verdana"/>
                <w:sz w:val="20"/>
              </w:rPr>
              <w:t xml:space="preserve">arketing to </w:t>
            </w:r>
            <w:r>
              <w:rPr>
                <w:rFonts w:eastAsia="Verdana" w:cs="Verdana"/>
                <w:sz w:val="20"/>
              </w:rPr>
              <w:t>h</w:t>
            </w:r>
            <w:r w:rsidRPr="006325C3">
              <w:rPr>
                <w:rFonts w:eastAsia="Verdana" w:cs="Verdana"/>
                <w:sz w:val="20"/>
              </w:rPr>
              <w:t xml:space="preserve">umans and </w:t>
            </w:r>
            <w:r>
              <w:rPr>
                <w:rFonts w:eastAsia="Verdana" w:cs="Verdana"/>
                <w:sz w:val="20"/>
              </w:rPr>
              <w:t>m</w:t>
            </w:r>
            <w:r w:rsidRPr="006325C3">
              <w:rPr>
                <w:rFonts w:eastAsia="Verdana" w:cs="Verdana"/>
                <w:sz w:val="20"/>
              </w:rPr>
              <w:t xml:space="preserve">achines, Tourism Australia soft launched its </w:t>
            </w:r>
            <w:hyperlink r:id="rId12" w:history="1">
              <w:r w:rsidRPr="003C38D2">
                <w:rPr>
                  <w:rStyle w:val="Hyperlink"/>
                  <w:rFonts w:eastAsia="Verdana" w:cs="Verdana"/>
                  <w:sz w:val="20"/>
                </w:rPr>
                <w:t>Australia guides Instagram channel</w:t>
              </w:r>
            </w:hyperlink>
            <w:r w:rsidRPr="006325C3">
              <w:rPr>
                <w:rFonts w:eastAsia="Verdana" w:cs="Verdana"/>
                <w:sz w:val="20"/>
              </w:rPr>
              <w:t xml:space="preserve"> in September</w:t>
            </w:r>
            <w:r>
              <w:rPr>
                <w:rFonts w:eastAsia="Verdana" w:cs="Verdana"/>
                <w:sz w:val="20"/>
              </w:rPr>
              <w:t xml:space="preserve"> 2026</w:t>
            </w:r>
            <w:r w:rsidRPr="006325C3">
              <w:rPr>
                <w:rFonts w:eastAsia="Verdana" w:cs="Verdana"/>
                <w:sz w:val="20"/>
              </w:rPr>
              <w:t xml:space="preserve">. </w:t>
            </w:r>
          </w:p>
          <w:p w14:paraId="1D99BBDA" w14:textId="0D9FD009" w:rsidR="0015490A" w:rsidRPr="006B6723" w:rsidRDefault="0015490A" w:rsidP="00FA5617">
            <w:pPr>
              <w:numPr>
                <w:ilvl w:val="0"/>
                <w:numId w:val="9"/>
              </w:numPr>
              <w:spacing w:before="60" w:after="60" w:line="240" w:lineRule="auto"/>
              <w:rPr>
                <w:rFonts w:eastAsia="Verdana" w:cs="Verdana"/>
                <w:sz w:val="20"/>
              </w:rPr>
            </w:pPr>
            <w:r w:rsidRPr="00245F4F">
              <w:rPr>
                <w:rFonts w:eastAsia="Verdana" w:cs="Verdana"/>
                <w:sz w:val="20"/>
                <w:szCs w:val="22"/>
              </w:rPr>
              <w:t>The channel aims to shift the algorithms to reach international travellers with information to plan their trip to Australia.</w:t>
            </w:r>
          </w:p>
        </w:tc>
        <w:tc>
          <w:tcPr>
            <w:tcW w:w="5561" w:type="dxa"/>
            <w:tcBorders>
              <w:top w:val="single" w:sz="6" w:space="0" w:color="auto"/>
              <w:left w:val="single" w:sz="6" w:space="0" w:color="auto"/>
              <w:bottom w:val="single" w:sz="6" w:space="0" w:color="auto"/>
              <w:right w:val="single" w:sz="6" w:space="0" w:color="auto"/>
            </w:tcBorders>
          </w:tcPr>
          <w:p w14:paraId="15364A57" w14:textId="77777777" w:rsidR="0015490A" w:rsidRDefault="0015490A" w:rsidP="00454391">
            <w:pPr>
              <w:spacing w:before="60" w:after="60" w:line="240" w:lineRule="auto"/>
              <w:rPr>
                <w:rFonts w:eastAsia="Verdana" w:cs="Verdana"/>
                <w:sz w:val="20"/>
              </w:rPr>
            </w:pPr>
            <w:r w:rsidRPr="004133EB">
              <w:rPr>
                <w:rFonts w:eastAsia="Verdana" w:cs="Verdana"/>
                <w:sz w:val="20"/>
              </w:rPr>
              <w:t xml:space="preserve">Tourism Australia’s Come and Say </w:t>
            </w:r>
            <w:proofErr w:type="spellStart"/>
            <w:r w:rsidRPr="004133EB">
              <w:rPr>
                <w:rFonts w:eastAsia="Verdana" w:cs="Verdana"/>
                <w:sz w:val="20"/>
              </w:rPr>
              <w:t>G’Day</w:t>
            </w:r>
            <w:proofErr w:type="spellEnd"/>
            <w:r w:rsidRPr="004133EB">
              <w:rPr>
                <w:rFonts w:eastAsia="Verdana" w:cs="Verdana"/>
                <w:sz w:val="20"/>
              </w:rPr>
              <w:t xml:space="preserve"> campaign </w:t>
            </w:r>
            <w:r>
              <w:rPr>
                <w:rFonts w:eastAsia="Verdana" w:cs="Verdana"/>
                <w:sz w:val="20"/>
              </w:rPr>
              <w:t xml:space="preserve">will </w:t>
            </w:r>
            <w:r w:rsidRPr="004133EB">
              <w:rPr>
                <w:rFonts w:eastAsia="Verdana" w:cs="Verdana"/>
                <w:sz w:val="20"/>
              </w:rPr>
              <w:t>continue.</w:t>
            </w:r>
          </w:p>
          <w:p w14:paraId="414B6832" w14:textId="2C799895" w:rsidR="0015490A" w:rsidRPr="006B6723" w:rsidRDefault="0015490A" w:rsidP="00454391">
            <w:pPr>
              <w:spacing w:before="60" w:after="60" w:line="240" w:lineRule="auto"/>
              <w:rPr>
                <w:rFonts w:eastAsia="Verdana" w:cs="Verdana"/>
                <w:sz w:val="20"/>
              </w:rPr>
            </w:pPr>
            <w:r w:rsidRPr="004133EB">
              <w:rPr>
                <w:rFonts w:eastAsia="Verdana" w:cs="Verdana"/>
                <w:sz w:val="20"/>
              </w:rPr>
              <w:t>Tourism Australia will support and deliver promotional activities aimed at raising Australia’s attractiveness and appeal to Indian visitors by leveraging the opportunity presented by G’day Namaste</w:t>
            </w:r>
            <w:r>
              <w:rPr>
                <w:rFonts w:eastAsia="Verdana" w:cs="Verdana"/>
                <w:sz w:val="20"/>
              </w:rPr>
              <w:t xml:space="preserve">, </w:t>
            </w:r>
            <w:r w:rsidRPr="00733A8D">
              <w:rPr>
                <w:rFonts w:eastAsia="Verdana" w:cs="Verdana"/>
                <w:sz w:val="20"/>
              </w:rPr>
              <w:t>a week-long festiva</w:t>
            </w:r>
            <w:r>
              <w:rPr>
                <w:rFonts w:eastAsia="Verdana" w:cs="Verdana"/>
                <w:sz w:val="20"/>
              </w:rPr>
              <w:t xml:space="preserve">l </w:t>
            </w:r>
            <w:r w:rsidRPr="00733A8D">
              <w:rPr>
                <w:rFonts w:eastAsia="Verdana" w:cs="Verdana"/>
                <w:sz w:val="20"/>
              </w:rPr>
              <w:t xml:space="preserve">to be held across India in December </w:t>
            </w:r>
            <w:r>
              <w:rPr>
                <w:rFonts w:eastAsia="Verdana" w:cs="Verdana"/>
                <w:sz w:val="20"/>
              </w:rPr>
              <w:t>2026 f</w:t>
            </w:r>
            <w:r w:rsidRPr="00733A8D">
              <w:rPr>
                <w:rFonts w:eastAsia="Verdana" w:cs="Verdana"/>
                <w:sz w:val="20"/>
              </w:rPr>
              <w:t>eaturing Australian cultural, business and sport</w:t>
            </w:r>
            <w:r>
              <w:rPr>
                <w:rFonts w:eastAsia="Verdana" w:cs="Verdana"/>
                <w:sz w:val="20"/>
              </w:rPr>
              <w:t>ing</w:t>
            </w:r>
            <w:r w:rsidRPr="00733A8D">
              <w:rPr>
                <w:rFonts w:eastAsia="Verdana" w:cs="Verdana"/>
                <w:sz w:val="20"/>
              </w:rPr>
              <w:t xml:space="preserve"> events.</w:t>
            </w:r>
          </w:p>
        </w:tc>
      </w:tr>
      <w:tr w:rsidR="0015490A" w:rsidRPr="006B6723" w14:paraId="5618DE63" w14:textId="5D475E21" w:rsidTr="0015490A">
        <w:trPr>
          <w:trHeight w:val="300"/>
        </w:trPr>
        <w:tc>
          <w:tcPr>
            <w:tcW w:w="971" w:type="dxa"/>
            <w:tcBorders>
              <w:top w:val="single" w:sz="6" w:space="0" w:color="auto"/>
              <w:left w:val="single" w:sz="6" w:space="0" w:color="auto"/>
              <w:bottom w:val="single" w:sz="6" w:space="0" w:color="auto"/>
              <w:right w:val="single" w:sz="6" w:space="0" w:color="auto"/>
            </w:tcBorders>
            <w:tcMar>
              <w:left w:w="105" w:type="dxa"/>
              <w:right w:w="105" w:type="dxa"/>
            </w:tcMar>
          </w:tcPr>
          <w:p w14:paraId="6A76CE0E" w14:textId="57061F5C" w:rsidR="0015490A" w:rsidRPr="006B6723" w:rsidRDefault="0015490A" w:rsidP="00530A4C">
            <w:pPr>
              <w:spacing w:before="60" w:after="60" w:line="240" w:lineRule="auto"/>
              <w:jc w:val="center"/>
              <w:rPr>
                <w:rFonts w:eastAsia="Verdana" w:cs="Verdana"/>
                <w:color w:val="000000" w:themeColor="text1"/>
                <w:sz w:val="20"/>
              </w:rPr>
            </w:pPr>
            <w:r w:rsidRPr="002E1BE0">
              <w:rPr>
                <w:rStyle w:val="normaltextrun"/>
                <w:rFonts w:eastAsia="Verdana" w:cs="Verdana"/>
                <w:color w:val="000000" w:themeColor="text1"/>
                <w:sz w:val="20"/>
                <w:szCs w:val="20"/>
              </w:rPr>
              <w:t>1.2</w:t>
            </w:r>
          </w:p>
        </w:tc>
        <w:tc>
          <w:tcPr>
            <w:tcW w:w="5125" w:type="dxa"/>
            <w:tcBorders>
              <w:top w:val="single" w:sz="6" w:space="0" w:color="auto"/>
              <w:left w:val="single" w:sz="6" w:space="0" w:color="auto"/>
              <w:bottom w:val="single" w:sz="6" w:space="0" w:color="auto"/>
              <w:right w:val="single" w:sz="6" w:space="0" w:color="auto"/>
            </w:tcBorders>
            <w:tcMar>
              <w:left w:w="105" w:type="dxa"/>
              <w:right w:w="105" w:type="dxa"/>
            </w:tcMar>
          </w:tcPr>
          <w:p w14:paraId="6ACBEBC4" w14:textId="00BD362D" w:rsidR="0015490A" w:rsidRPr="006B6723" w:rsidRDefault="0015490A" w:rsidP="00530A4C">
            <w:pPr>
              <w:spacing w:before="60" w:after="60" w:line="240" w:lineRule="auto"/>
              <w:rPr>
                <w:sz w:val="20"/>
              </w:rPr>
            </w:pPr>
            <w:r w:rsidRPr="002C7830">
              <w:rPr>
                <w:sz w:val="20"/>
              </w:rPr>
              <w:t>Developing and then implementing an International Diversification Strategy for the visitor economy to build industry’s resilience, capability and understanding of new markets, capture new growth opportunities and broaden the spread of valuable visitor markets.</w:t>
            </w:r>
          </w:p>
        </w:tc>
        <w:tc>
          <w:tcPr>
            <w:tcW w:w="1984" w:type="dxa"/>
            <w:tcBorders>
              <w:top w:val="single" w:sz="6" w:space="0" w:color="auto"/>
              <w:left w:val="single" w:sz="6" w:space="0" w:color="auto"/>
              <w:bottom w:val="single" w:sz="6" w:space="0" w:color="auto"/>
              <w:right w:val="single" w:sz="6" w:space="0" w:color="auto"/>
            </w:tcBorders>
            <w:tcMar>
              <w:left w:w="105" w:type="dxa"/>
              <w:right w:w="105" w:type="dxa"/>
            </w:tcMar>
          </w:tcPr>
          <w:p w14:paraId="2C20A1A2" w14:textId="3C1664AD" w:rsidR="0015490A" w:rsidRPr="006B6723" w:rsidRDefault="0015490A" w:rsidP="00530A4C">
            <w:pPr>
              <w:spacing w:before="60" w:after="60" w:line="240" w:lineRule="auto"/>
              <w:rPr>
                <w:sz w:val="20"/>
              </w:rPr>
            </w:pPr>
            <w:r w:rsidRPr="006B6723">
              <w:rPr>
                <w:sz w:val="20"/>
              </w:rPr>
              <w:t>Austrade, Tourism Australia</w:t>
            </w:r>
          </w:p>
        </w:tc>
        <w:tc>
          <w:tcPr>
            <w:tcW w:w="5779" w:type="dxa"/>
            <w:tcBorders>
              <w:top w:val="single" w:sz="6" w:space="0" w:color="auto"/>
              <w:left w:val="single" w:sz="6" w:space="0" w:color="auto"/>
              <w:bottom w:val="single" w:sz="6" w:space="0" w:color="auto"/>
              <w:right w:val="single" w:sz="6" w:space="0" w:color="auto"/>
            </w:tcBorders>
          </w:tcPr>
          <w:p w14:paraId="3794EC9A" w14:textId="1B9CE290" w:rsidR="0015490A" w:rsidRPr="006B6723" w:rsidRDefault="0015490A" w:rsidP="00530A4C">
            <w:pPr>
              <w:spacing w:before="60" w:after="60" w:line="240" w:lineRule="auto"/>
              <w:rPr>
                <w:rFonts w:eastAsia="Verdana" w:cs="Verdana"/>
                <w:sz w:val="20"/>
              </w:rPr>
            </w:pPr>
            <w:r>
              <w:rPr>
                <w:rFonts w:eastAsia="Verdana" w:cs="Verdana"/>
                <w:sz w:val="20"/>
              </w:rPr>
              <w:t xml:space="preserve">Austrade’s </w:t>
            </w:r>
            <w:r w:rsidRPr="003C1832">
              <w:rPr>
                <w:rFonts w:eastAsia="Verdana" w:cs="Verdana"/>
                <w:sz w:val="20"/>
              </w:rPr>
              <w:t>Office of Tourism and the Visitor Economy (OTVE)</w:t>
            </w:r>
            <w:r w:rsidRPr="00E50B08">
              <w:rPr>
                <w:rFonts w:eastAsia="Verdana" w:cs="Verdana"/>
                <w:sz w:val="20"/>
              </w:rPr>
              <w:t xml:space="preserve"> and Tourism Australia have commenced working to develop an </w:t>
            </w:r>
            <w:r w:rsidRPr="00E50B08">
              <w:rPr>
                <w:rFonts w:eastAsia="Verdana" w:cs="Verdana"/>
                <w:b/>
                <w:bCs/>
                <w:sz w:val="20"/>
              </w:rPr>
              <w:t>International Visitation Framework</w:t>
            </w:r>
            <w:r w:rsidRPr="00E50B08">
              <w:rPr>
                <w:rFonts w:eastAsia="Verdana" w:cs="Verdana"/>
                <w:sz w:val="20"/>
              </w:rPr>
              <w:t xml:space="preserve">, a strategic </w:t>
            </w:r>
            <w:r>
              <w:rPr>
                <w:rFonts w:eastAsia="Verdana" w:cs="Verdana"/>
                <w:sz w:val="20"/>
              </w:rPr>
              <w:t>framework</w:t>
            </w:r>
            <w:r w:rsidRPr="00E50B08">
              <w:rPr>
                <w:rFonts w:eastAsia="Verdana" w:cs="Verdana"/>
                <w:sz w:val="20"/>
              </w:rPr>
              <w:t xml:space="preserve"> to diversifying Australia's international visitor markets.</w:t>
            </w:r>
          </w:p>
          <w:p w14:paraId="1815E529" w14:textId="77777777" w:rsidR="0015490A" w:rsidRDefault="0015490A" w:rsidP="00245F4F">
            <w:pPr>
              <w:spacing w:before="60" w:after="60" w:line="240" w:lineRule="auto"/>
              <w:rPr>
                <w:rFonts w:eastAsia="Verdana" w:cs="Verdana"/>
                <w:sz w:val="20"/>
              </w:rPr>
            </w:pPr>
            <w:r>
              <w:rPr>
                <w:rFonts w:eastAsia="Verdana" w:cs="Verdana"/>
                <w:sz w:val="20"/>
              </w:rPr>
              <w:t>The</w:t>
            </w:r>
            <w:r w:rsidRPr="006B6723">
              <w:rPr>
                <w:rFonts w:eastAsia="Verdana" w:cs="Verdana"/>
                <w:sz w:val="20"/>
              </w:rPr>
              <w:t xml:space="preserve"> India Visiting Friends and Relatives (VFR) research project</w:t>
            </w:r>
            <w:r w:rsidRPr="006B6723" w:rsidDel="001F39A3">
              <w:rPr>
                <w:rFonts w:eastAsia="Verdana" w:cs="Verdana"/>
                <w:sz w:val="20"/>
              </w:rPr>
              <w:t xml:space="preserve"> </w:t>
            </w:r>
            <w:r>
              <w:rPr>
                <w:rFonts w:eastAsia="Verdana" w:cs="Verdana"/>
                <w:sz w:val="20"/>
              </w:rPr>
              <w:t xml:space="preserve">continued, </w:t>
            </w:r>
            <w:r w:rsidRPr="006B6723">
              <w:rPr>
                <w:rFonts w:eastAsia="Verdana" w:cs="Verdana"/>
                <w:sz w:val="20"/>
              </w:rPr>
              <w:t xml:space="preserve">in collaboration with Griffith University. </w:t>
            </w:r>
          </w:p>
          <w:p w14:paraId="099C32D3" w14:textId="3875BE64" w:rsidR="0015490A" w:rsidRPr="00245F4F" w:rsidRDefault="0015490A" w:rsidP="00FA5617">
            <w:pPr>
              <w:numPr>
                <w:ilvl w:val="0"/>
                <w:numId w:val="9"/>
              </w:numPr>
              <w:spacing w:before="60" w:after="60" w:line="240" w:lineRule="auto"/>
              <w:rPr>
                <w:rFonts w:eastAsia="Verdana" w:cs="Verdana"/>
                <w:sz w:val="20"/>
              </w:rPr>
            </w:pPr>
            <w:r w:rsidRPr="00245F4F">
              <w:rPr>
                <w:rFonts w:eastAsia="Verdana" w:cs="Verdana"/>
                <w:sz w:val="20"/>
                <w:szCs w:val="22"/>
              </w:rPr>
              <w:t>The research aims to quantify the value of the Indian VFR segment to Australia, identify drivers of Indian visitation to Australia, examine the role and impact of the Indian diaspora, and identify practical opportunities to increase Indian visitation.</w:t>
            </w:r>
          </w:p>
        </w:tc>
        <w:tc>
          <w:tcPr>
            <w:tcW w:w="5561" w:type="dxa"/>
            <w:tcBorders>
              <w:top w:val="single" w:sz="6" w:space="0" w:color="auto"/>
              <w:left w:val="single" w:sz="6" w:space="0" w:color="auto"/>
              <w:bottom w:val="single" w:sz="6" w:space="0" w:color="auto"/>
              <w:right w:val="single" w:sz="6" w:space="0" w:color="auto"/>
            </w:tcBorders>
          </w:tcPr>
          <w:p w14:paraId="64149770" w14:textId="14828AAF" w:rsidR="0015490A" w:rsidRPr="006B6723" w:rsidRDefault="0015490A" w:rsidP="00530A4C">
            <w:pPr>
              <w:spacing w:before="60" w:after="60" w:line="240" w:lineRule="auto"/>
              <w:rPr>
                <w:rFonts w:eastAsia="Verdana" w:cs="Verdana"/>
                <w:sz w:val="20"/>
              </w:rPr>
            </w:pPr>
            <w:r>
              <w:rPr>
                <w:rFonts w:eastAsia="Verdana" w:cs="Verdana"/>
                <w:sz w:val="20"/>
              </w:rPr>
              <w:t>Consultation on the International Visitation Framework with Commonwealth government agencies and states and territories will commence from October 2026.</w:t>
            </w:r>
          </w:p>
          <w:p w14:paraId="224841D3" w14:textId="32FB6FEC" w:rsidR="0015490A" w:rsidRDefault="0015490A" w:rsidP="002C7830">
            <w:pPr>
              <w:spacing w:before="60" w:after="60" w:line="240" w:lineRule="auto"/>
              <w:rPr>
                <w:rFonts w:eastAsia="Verdana" w:cs="Verdana"/>
                <w:sz w:val="20"/>
              </w:rPr>
            </w:pPr>
            <w:r w:rsidRPr="006B6723">
              <w:rPr>
                <w:rFonts w:eastAsia="Verdana" w:cs="Verdana"/>
                <w:sz w:val="20"/>
              </w:rPr>
              <w:t xml:space="preserve">The India VFR research project </w:t>
            </w:r>
            <w:r>
              <w:rPr>
                <w:rFonts w:eastAsia="Verdana" w:cs="Verdana"/>
                <w:sz w:val="20"/>
              </w:rPr>
              <w:t xml:space="preserve">is </w:t>
            </w:r>
            <w:r w:rsidRPr="006B6723">
              <w:rPr>
                <w:rFonts w:eastAsia="Verdana" w:cs="Verdana"/>
                <w:sz w:val="20"/>
              </w:rPr>
              <w:t>expected to be finalised in November 2026.</w:t>
            </w:r>
          </w:p>
          <w:p w14:paraId="7B22FB36" w14:textId="58397B7E" w:rsidR="0015490A" w:rsidRPr="006B6723" w:rsidRDefault="0015490A" w:rsidP="0069618F">
            <w:pPr>
              <w:spacing w:before="60" w:after="60" w:line="240" w:lineRule="auto"/>
              <w:rPr>
                <w:rFonts w:eastAsia="Verdana" w:cs="Verdana"/>
                <w:sz w:val="20"/>
              </w:rPr>
            </w:pPr>
          </w:p>
        </w:tc>
      </w:tr>
      <w:tr w:rsidR="0015490A" w:rsidRPr="006B6723" w14:paraId="7EA133DD" w14:textId="2649D9A1" w:rsidTr="0015490A">
        <w:trPr>
          <w:cnfStyle w:val="000000100000" w:firstRow="0" w:lastRow="0" w:firstColumn="0" w:lastColumn="0" w:oddVBand="0" w:evenVBand="0" w:oddHBand="1" w:evenHBand="0" w:firstRowFirstColumn="0" w:firstRowLastColumn="0" w:lastRowFirstColumn="0" w:lastRowLastColumn="0"/>
          <w:trHeight w:val="300"/>
        </w:trPr>
        <w:tc>
          <w:tcPr>
            <w:tcW w:w="971" w:type="dxa"/>
            <w:tcBorders>
              <w:top w:val="single" w:sz="6" w:space="0" w:color="auto"/>
              <w:left w:val="single" w:sz="6" w:space="0" w:color="auto"/>
              <w:bottom w:val="single" w:sz="6" w:space="0" w:color="auto"/>
              <w:right w:val="single" w:sz="6" w:space="0" w:color="auto"/>
            </w:tcBorders>
            <w:tcMar>
              <w:left w:w="105" w:type="dxa"/>
              <w:right w:w="105" w:type="dxa"/>
            </w:tcMar>
          </w:tcPr>
          <w:p w14:paraId="684D5D98" w14:textId="20EDE716" w:rsidR="0015490A" w:rsidRPr="006B6723" w:rsidRDefault="0015490A" w:rsidP="00530A4C">
            <w:pPr>
              <w:spacing w:before="60" w:after="60" w:line="240" w:lineRule="auto"/>
              <w:jc w:val="center"/>
              <w:rPr>
                <w:rFonts w:eastAsia="Verdana" w:cs="Verdana"/>
                <w:color w:val="000000" w:themeColor="text1"/>
                <w:sz w:val="20"/>
              </w:rPr>
            </w:pPr>
            <w:r w:rsidRPr="002E1BE0">
              <w:rPr>
                <w:rStyle w:val="normaltextrun"/>
                <w:rFonts w:eastAsia="Verdana" w:cs="Verdana"/>
                <w:color w:val="000000" w:themeColor="text1"/>
                <w:sz w:val="20"/>
                <w:szCs w:val="20"/>
              </w:rPr>
              <w:t>1.3</w:t>
            </w:r>
          </w:p>
        </w:tc>
        <w:tc>
          <w:tcPr>
            <w:tcW w:w="5125" w:type="dxa"/>
            <w:tcBorders>
              <w:top w:val="single" w:sz="6" w:space="0" w:color="auto"/>
              <w:left w:val="single" w:sz="6" w:space="0" w:color="auto"/>
              <w:bottom w:val="single" w:sz="6" w:space="0" w:color="auto"/>
              <w:right w:val="single" w:sz="6" w:space="0" w:color="auto"/>
            </w:tcBorders>
            <w:tcMar>
              <w:left w:w="105" w:type="dxa"/>
              <w:right w:w="105" w:type="dxa"/>
            </w:tcMar>
          </w:tcPr>
          <w:p w14:paraId="7B0C7B23" w14:textId="011FE611" w:rsidR="0015490A" w:rsidRPr="006B6723" w:rsidRDefault="0015490A" w:rsidP="00530A4C">
            <w:pPr>
              <w:spacing w:before="60" w:after="60" w:line="240" w:lineRule="auto"/>
              <w:rPr>
                <w:sz w:val="20"/>
              </w:rPr>
            </w:pPr>
            <w:r w:rsidRPr="006B6723">
              <w:rPr>
                <w:sz w:val="20"/>
              </w:rPr>
              <w:t>Delivering a competitive and fit-for-purpose Approved Destination Status (ADS) scheme for Chinese group travel through an $8 million investment over 4 years and ongoing funding.</w:t>
            </w:r>
          </w:p>
        </w:tc>
        <w:tc>
          <w:tcPr>
            <w:tcW w:w="1984" w:type="dxa"/>
            <w:tcBorders>
              <w:top w:val="single" w:sz="6" w:space="0" w:color="auto"/>
              <w:left w:val="single" w:sz="6" w:space="0" w:color="auto"/>
              <w:bottom w:val="single" w:sz="6" w:space="0" w:color="auto"/>
              <w:right w:val="single" w:sz="6" w:space="0" w:color="auto"/>
            </w:tcBorders>
            <w:tcMar>
              <w:left w:w="105" w:type="dxa"/>
              <w:right w:w="105" w:type="dxa"/>
            </w:tcMar>
          </w:tcPr>
          <w:p w14:paraId="28DCF5A3" w14:textId="7FD2FA25" w:rsidR="0015490A" w:rsidRPr="006B6723" w:rsidRDefault="0015490A" w:rsidP="00530A4C">
            <w:pPr>
              <w:spacing w:before="60" w:after="60" w:line="240" w:lineRule="auto"/>
              <w:rPr>
                <w:sz w:val="20"/>
              </w:rPr>
            </w:pPr>
            <w:r w:rsidRPr="006B6723">
              <w:rPr>
                <w:sz w:val="20"/>
              </w:rPr>
              <w:t xml:space="preserve">Austrade </w:t>
            </w:r>
            <w:r w:rsidRPr="00F531C7">
              <w:rPr>
                <w:sz w:val="20"/>
              </w:rPr>
              <w:t>(Department of Home Affairs)</w:t>
            </w:r>
          </w:p>
        </w:tc>
        <w:tc>
          <w:tcPr>
            <w:tcW w:w="5779" w:type="dxa"/>
            <w:tcBorders>
              <w:top w:val="single" w:sz="6" w:space="0" w:color="auto"/>
              <w:left w:val="single" w:sz="6" w:space="0" w:color="auto"/>
              <w:bottom w:val="single" w:sz="6" w:space="0" w:color="auto"/>
              <w:right w:val="single" w:sz="6" w:space="0" w:color="auto"/>
            </w:tcBorders>
          </w:tcPr>
          <w:p w14:paraId="7EAC0360" w14:textId="3B8CF12A" w:rsidR="0015490A" w:rsidRDefault="0015490A" w:rsidP="00E32962">
            <w:pPr>
              <w:spacing w:before="60" w:after="60" w:line="240" w:lineRule="auto"/>
              <w:rPr>
                <w:rFonts w:eastAsia="Verdana" w:cs="Verdana"/>
                <w:sz w:val="20"/>
              </w:rPr>
            </w:pPr>
            <w:r w:rsidRPr="006B6723">
              <w:rPr>
                <w:rFonts w:eastAsia="Verdana" w:cs="Verdana"/>
                <w:sz w:val="20"/>
              </w:rPr>
              <w:t xml:space="preserve">To support Chinese tour groups visiting Australia, </w:t>
            </w:r>
            <w:r>
              <w:rPr>
                <w:rFonts w:eastAsia="Verdana" w:cs="Verdana"/>
                <w:sz w:val="20"/>
              </w:rPr>
              <w:t xml:space="preserve">the Approved Destination Status (ADS) scheme published the second version of </w:t>
            </w:r>
            <w:hyperlink r:id="rId13" w:history="1">
              <w:r w:rsidRPr="00910A45">
                <w:rPr>
                  <w:rStyle w:val="Hyperlink"/>
                  <w:rFonts w:eastAsia="Verdana" w:cs="Verdana"/>
                  <w:i/>
                  <w:sz w:val="20"/>
                </w:rPr>
                <w:t>Exploring Australia</w:t>
              </w:r>
            </w:hyperlink>
            <w:r w:rsidRPr="003C1832">
              <w:rPr>
                <w:rFonts w:eastAsia="Verdana" w:cs="Verdana"/>
                <w:b/>
                <w:bCs/>
                <w:sz w:val="20"/>
              </w:rPr>
              <w:t xml:space="preserve"> </w:t>
            </w:r>
            <w:r>
              <w:rPr>
                <w:rFonts w:eastAsia="Verdana" w:cs="Verdana"/>
                <w:sz w:val="20"/>
              </w:rPr>
              <w:t xml:space="preserve">in July 2026, </w:t>
            </w:r>
            <w:r w:rsidRPr="003C1832">
              <w:rPr>
                <w:rFonts w:eastAsia="Verdana" w:cs="Verdana"/>
                <w:sz w:val="20"/>
              </w:rPr>
              <w:t>incorporat</w:t>
            </w:r>
            <w:r>
              <w:rPr>
                <w:rFonts w:eastAsia="Verdana" w:cs="Verdana"/>
                <w:sz w:val="20"/>
              </w:rPr>
              <w:t>ing</w:t>
            </w:r>
            <w:r w:rsidRPr="003C1832">
              <w:rPr>
                <w:rFonts w:eastAsia="Verdana" w:cs="Verdana"/>
                <w:sz w:val="20"/>
              </w:rPr>
              <w:t xml:space="preserve"> information on additional destinations and attractions</w:t>
            </w:r>
            <w:r w:rsidRPr="006B6723">
              <w:rPr>
                <w:rFonts w:eastAsia="Verdana" w:cs="Verdana"/>
                <w:sz w:val="20"/>
              </w:rPr>
              <w:t>.</w:t>
            </w:r>
          </w:p>
          <w:p w14:paraId="6FEB477F" w14:textId="7AE25ECD" w:rsidR="0015490A" w:rsidRDefault="0015490A" w:rsidP="00EE2CE7">
            <w:pPr>
              <w:spacing w:before="60" w:after="60" w:line="240" w:lineRule="auto"/>
              <w:rPr>
                <w:rFonts w:eastAsia="Verdana" w:cs="Verdana"/>
                <w:sz w:val="20"/>
              </w:rPr>
            </w:pPr>
            <w:r>
              <w:rPr>
                <w:rFonts w:eastAsia="Verdana" w:cs="Verdana"/>
                <w:sz w:val="20"/>
              </w:rPr>
              <w:t xml:space="preserve">Austrade’s </w:t>
            </w:r>
            <w:r w:rsidRPr="003C1832">
              <w:rPr>
                <w:rFonts w:eastAsia="Verdana" w:cs="Verdana"/>
                <w:sz w:val="20"/>
              </w:rPr>
              <w:t xml:space="preserve">OTVE held the 26th Approved Destination Status Advisory Panel meeting in July 2026, </w:t>
            </w:r>
            <w:r>
              <w:rPr>
                <w:rFonts w:eastAsia="Verdana" w:cs="Verdana"/>
                <w:sz w:val="20"/>
              </w:rPr>
              <w:t>updating</w:t>
            </w:r>
            <w:r w:rsidRPr="003C1832">
              <w:rPr>
                <w:rFonts w:eastAsia="Verdana" w:cs="Verdana"/>
                <w:sz w:val="20"/>
              </w:rPr>
              <w:t xml:space="preserve"> </w:t>
            </w:r>
            <w:r w:rsidRPr="003C1832">
              <w:rPr>
                <w:rFonts w:eastAsia="Verdana" w:cs="Verdana"/>
                <w:sz w:val="20"/>
              </w:rPr>
              <w:lastRenderedPageBreak/>
              <w:t xml:space="preserve">members on </w:t>
            </w:r>
            <w:r>
              <w:rPr>
                <w:rFonts w:eastAsia="Verdana" w:cs="Verdana"/>
                <w:sz w:val="20"/>
              </w:rPr>
              <w:t>compliance activities, research,</w:t>
            </w:r>
            <w:r w:rsidRPr="003C1832">
              <w:rPr>
                <w:rFonts w:eastAsia="Verdana" w:cs="Verdana"/>
                <w:sz w:val="20"/>
              </w:rPr>
              <w:t xml:space="preserve"> and </w:t>
            </w:r>
            <w:r>
              <w:rPr>
                <w:rFonts w:eastAsia="Verdana" w:cs="Verdana"/>
                <w:sz w:val="20"/>
              </w:rPr>
              <w:t>work to modernise</w:t>
            </w:r>
            <w:r w:rsidRPr="003C1832">
              <w:rPr>
                <w:rFonts w:eastAsia="Verdana" w:cs="Verdana"/>
                <w:sz w:val="20"/>
              </w:rPr>
              <w:t xml:space="preserve"> ADS </w:t>
            </w:r>
            <w:r>
              <w:rPr>
                <w:rFonts w:eastAsia="Verdana" w:cs="Verdana"/>
                <w:sz w:val="20"/>
              </w:rPr>
              <w:t xml:space="preserve">through IT upgrades to </w:t>
            </w:r>
            <w:proofErr w:type="spellStart"/>
            <w:r>
              <w:rPr>
                <w:rFonts w:eastAsia="Verdana" w:cs="Verdana"/>
                <w:sz w:val="20"/>
              </w:rPr>
              <w:t>AccessADS</w:t>
            </w:r>
            <w:proofErr w:type="spellEnd"/>
            <w:r w:rsidRPr="003C1832">
              <w:rPr>
                <w:rFonts w:eastAsia="Verdana" w:cs="Verdana"/>
                <w:sz w:val="20"/>
              </w:rPr>
              <w:t>.</w:t>
            </w:r>
          </w:p>
          <w:p w14:paraId="4B956CAF" w14:textId="332B3B29" w:rsidR="0015490A" w:rsidRPr="003C1832" w:rsidRDefault="0015490A" w:rsidP="00EE2CE7">
            <w:pPr>
              <w:spacing w:before="60" w:after="60" w:line="240" w:lineRule="auto"/>
              <w:rPr>
                <w:rFonts w:eastAsia="Verdana" w:cs="Verdana"/>
                <w:sz w:val="20"/>
              </w:rPr>
            </w:pPr>
            <w:r>
              <w:rPr>
                <w:rFonts w:eastAsia="Verdana" w:cs="Verdana"/>
                <w:sz w:val="20"/>
              </w:rPr>
              <w:t xml:space="preserve">Earlier this year, </w:t>
            </w:r>
            <w:r w:rsidRPr="003C1832">
              <w:rPr>
                <w:rFonts w:eastAsia="Verdana" w:cs="Verdana"/>
                <w:sz w:val="20"/>
              </w:rPr>
              <w:t xml:space="preserve">OTVE consulted with industry and state and territory governments on opportunities to strengthen the ADS scheme and modernise the ADS Code. A summary of stakeholder feedback has now been published on the </w:t>
            </w:r>
            <w:hyperlink r:id="rId14" w:history="1">
              <w:r w:rsidRPr="00865F4A">
                <w:rPr>
                  <w:rStyle w:val="Hyperlink"/>
                  <w:rFonts w:eastAsia="Verdana" w:cs="Verdana"/>
                  <w:sz w:val="20"/>
                </w:rPr>
                <w:t>ADS website</w:t>
              </w:r>
            </w:hyperlink>
            <w:r w:rsidRPr="003C1832">
              <w:rPr>
                <w:rFonts w:eastAsia="Verdana" w:cs="Verdana"/>
                <w:sz w:val="20"/>
              </w:rPr>
              <w:t>.</w:t>
            </w:r>
          </w:p>
          <w:p w14:paraId="51BD8AF4" w14:textId="1FFB9C5F" w:rsidR="0015490A" w:rsidRPr="006B6723" w:rsidRDefault="0015490A" w:rsidP="00530A4C">
            <w:pPr>
              <w:spacing w:before="60" w:after="60" w:line="240" w:lineRule="auto"/>
              <w:rPr>
                <w:rFonts w:eastAsia="Verdana" w:cs="Verdana"/>
                <w:sz w:val="20"/>
              </w:rPr>
            </w:pPr>
            <w:r w:rsidRPr="006B6723">
              <w:rPr>
                <w:rFonts w:eastAsia="Verdana" w:cs="Verdana"/>
                <w:sz w:val="20"/>
              </w:rPr>
              <w:t>The Department of Home Affairs support</w:t>
            </w:r>
            <w:r>
              <w:rPr>
                <w:rFonts w:eastAsia="Verdana" w:cs="Verdana"/>
                <w:sz w:val="20"/>
              </w:rPr>
              <w:t>ed</w:t>
            </w:r>
            <w:r w:rsidRPr="006B6723">
              <w:rPr>
                <w:rFonts w:eastAsia="Verdana" w:cs="Verdana"/>
                <w:sz w:val="20"/>
              </w:rPr>
              <w:t xml:space="preserve"> the ongoing delivery of the ADS scheme through the efficient management of the immigration requirements and the approval of outbound travel operators (OTOs).</w:t>
            </w:r>
          </w:p>
        </w:tc>
        <w:tc>
          <w:tcPr>
            <w:tcW w:w="5561" w:type="dxa"/>
            <w:tcBorders>
              <w:top w:val="single" w:sz="6" w:space="0" w:color="auto"/>
              <w:left w:val="single" w:sz="6" w:space="0" w:color="auto"/>
              <w:bottom w:val="single" w:sz="6" w:space="0" w:color="auto"/>
              <w:right w:val="single" w:sz="6" w:space="0" w:color="auto"/>
            </w:tcBorders>
          </w:tcPr>
          <w:p w14:paraId="6AF44778" w14:textId="2F8D1868" w:rsidR="0015490A" w:rsidRPr="00C06970" w:rsidRDefault="0015490A" w:rsidP="00741B9F">
            <w:pPr>
              <w:spacing w:before="60" w:after="60" w:line="240" w:lineRule="auto"/>
              <w:rPr>
                <w:rFonts w:eastAsia="Verdana" w:cs="Verdana"/>
                <w:sz w:val="20"/>
              </w:rPr>
            </w:pPr>
            <w:r w:rsidRPr="006B6723">
              <w:rPr>
                <w:rFonts w:eastAsia="Verdana" w:cs="Verdana"/>
                <w:sz w:val="20"/>
              </w:rPr>
              <w:lastRenderedPageBreak/>
              <w:t xml:space="preserve">Work to </w:t>
            </w:r>
            <w:r w:rsidRPr="00937B46">
              <w:rPr>
                <w:rFonts w:eastAsia="Verdana" w:cs="Verdana"/>
                <w:sz w:val="20"/>
              </w:rPr>
              <w:t>modernise</w:t>
            </w:r>
            <w:r w:rsidRPr="006B6723">
              <w:rPr>
                <w:rFonts w:eastAsia="Verdana" w:cs="Verdana"/>
                <w:sz w:val="20"/>
              </w:rPr>
              <w:t xml:space="preserve"> the ADS Code of Business Standards and Ethics</w:t>
            </w:r>
            <w:r w:rsidRPr="00C06970">
              <w:rPr>
                <w:rFonts w:eastAsia="Verdana" w:cs="Verdana"/>
                <w:sz w:val="20"/>
              </w:rPr>
              <w:t xml:space="preserve">, informed by </w:t>
            </w:r>
            <w:r w:rsidRPr="006B6723">
              <w:rPr>
                <w:rFonts w:eastAsia="Verdana" w:cs="Verdana"/>
                <w:sz w:val="20"/>
              </w:rPr>
              <w:t>consultation feedback</w:t>
            </w:r>
            <w:r w:rsidRPr="00C06970">
              <w:rPr>
                <w:rFonts w:eastAsia="Verdana" w:cs="Verdana"/>
                <w:sz w:val="20"/>
              </w:rPr>
              <w:t>,</w:t>
            </w:r>
            <w:r w:rsidRPr="00937B46">
              <w:rPr>
                <w:rFonts w:eastAsia="Verdana" w:cs="Verdana"/>
                <w:sz w:val="20"/>
              </w:rPr>
              <w:t xml:space="preserve"> is </w:t>
            </w:r>
            <w:r w:rsidRPr="00C06970">
              <w:rPr>
                <w:rFonts w:eastAsia="Verdana" w:cs="Verdana"/>
                <w:sz w:val="20"/>
              </w:rPr>
              <w:t>progressing. The</w:t>
            </w:r>
            <w:r>
              <w:rPr>
                <w:rFonts w:eastAsia="Verdana" w:cs="Verdana"/>
                <w:sz w:val="20"/>
              </w:rPr>
              <w:t xml:space="preserve"> Exposure </w:t>
            </w:r>
            <w:r w:rsidRPr="00C06970">
              <w:rPr>
                <w:rFonts w:eastAsia="Verdana" w:cs="Verdana"/>
                <w:sz w:val="20"/>
              </w:rPr>
              <w:t xml:space="preserve">Draft will be </w:t>
            </w:r>
            <w:r w:rsidRPr="70C72A7D">
              <w:rPr>
                <w:rFonts w:eastAsia="Verdana" w:cs="Verdana"/>
                <w:sz w:val="20"/>
              </w:rPr>
              <w:t>released for</w:t>
            </w:r>
            <w:r w:rsidRPr="00C06970">
              <w:rPr>
                <w:rFonts w:eastAsia="Verdana" w:cs="Verdana"/>
                <w:sz w:val="20"/>
              </w:rPr>
              <w:t xml:space="preserve"> industry consultation commencing </w:t>
            </w:r>
            <w:r w:rsidRPr="70C72A7D">
              <w:rPr>
                <w:rFonts w:eastAsia="Verdana" w:cs="Verdana"/>
                <w:sz w:val="20"/>
              </w:rPr>
              <w:t>in</w:t>
            </w:r>
            <w:r w:rsidRPr="00C06970">
              <w:rPr>
                <w:rFonts w:eastAsia="Verdana" w:cs="Verdana"/>
                <w:sz w:val="20"/>
              </w:rPr>
              <w:t xml:space="preserve"> </w:t>
            </w:r>
            <w:r>
              <w:rPr>
                <w:rFonts w:eastAsia="Verdana" w:cs="Verdana"/>
                <w:sz w:val="20"/>
              </w:rPr>
              <w:t>late</w:t>
            </w:r>
            <w:r w:rsidRPr="00C06970">
              <w:rPr>
                <w:rFonts w:eastAsia="Verdana" w:cs="Verdana"/>
                <w:sz w:val="20"/>
              </w:rPr>
              <w:t xml:space="preserve"> November 2026 </w:t>
            </w:r>
            <w:r>
              <w:rPr>
                <w:rFonts w:eastAsia="Verdana" w:cs="Verdana"/>
                <w:sz w:val="20"/>
              </w:rPr>
              <w:t xml:space="preserve">ahead of </w:t>
            </w:r>
            <w:r w:rsidRPr="00937B46">
              <w:rPr>
                <w:rFonts w:eastAsia="Verdana" w:cs="Verdana"/>
                <w:sz w:val="20"/>
              </w:rPr>
              <w:t xml:space="preserve">the </w:t>
            </w:r>
            <w:r w:rsidRPr="00C06970">
              <w:rPr>
                <w:rFonts w:eastAsia="Verdana" w:cs="Verdana"/>
                <w:sz w:val="20"/>
              </w:rPr>
              <w:t xml:space="preserve">release of the </w:t>
            </w:r>
            <w:r w:rsidRPr="00937B46">
              <w:rPr>
                <w:rFonts w:eastAsia="Verdana" w:cs="Verdana"/>
                <w:sz w:val="20"/>
              </w:rPr>
              <w:t xml:space="preserve">updated Code </w:t>
            </w:r>
            <w:r>
              <w:rPr>
                <w:rFonts w:eastAsia="Verdana" w:cs="Verdana"/>
                <w:sz w:val="20"/>
              </w:rPr>
              <w:t>in March</w:t>
            </w:r>
            <w:r w:rsidRPr="00937B46">
              <w:rPr>
                <w:rFonts w:eastAsia="Verdana" w:cs="Verdana"/>
                <w:sz w:val="20"/>
              </w:rPr>
              <w:t xml:space="preserve"> 2027</w:t>
            </w:r>
            <w:r>
              <w:rPr>
                <w:rFonts w:eastAsia="Verdana" w:cs="Verdana"/>
                <w:sz w:val="20"/>
              </w:rPr>
              <w:t>.</w:t>
            </w:r>
          </w:p>
          <w:p w14:paraId="0314F842" w14:textId="3866C765" w:rsidR="0015490A" w:rsidRPr="006B6723" w:rsidRDefault="0015490A" w:rsidP="00530A4C">
            <w:pPr>
              <w:spacing w:before="60" w:after="60" w:line="240" w:lineRule="auto"/>
              <w:rPr>
                <w:rFonts w:eastAsia="Verdana" w:cs="Verdana"/>
                <w:sz w:val="20"/>
              </w:rPr>
            </w:pPr>
          </w:p>
        </w:tc>
      </w:tr>
      <w:tr w:rsidR="0015490A" w:rsidRPr="006B6723" w14:paraId="68A9EEE6" w14:textId="30CFE2D3" w:rsidTr="0015490A">
        <w:trPr>
          <w:trHeight w:val="300"/>
        </w:trPr>
        <w:tc>
          <w:tcPr>
            <w:tcW w:w="971" w:type="dxa"/>
            <w:tcBorders>
              <w:top w:val="single" w:sz="6" w:space="0" w:color="auto"/>
              <w:left w:val="single" w:sz="6" w:space="0" w:color="auto"/>
              <w:bottom w:val="single" w:sz="6" w:space="0" w:color="auto"/>
              <w:right w:val="single" w:sz="6" w:space="0" w:color="auto"/>
            </w:tcBorders>
            <w:tcMar>
              <w:left w:w="105" w:type="dxa"/>
              <w:right w:w="105" w:type="dxa"/>
            </w:tcMar>
          </w:tcPr>
          <w:p w14:paraId="70C54DD4" w14:textId="61C70896" w:rsidR="0015490A" w:rsidRPr="006B6723" w:rsidRDefault="0015490A" w:rsidP="00530A4C">
            <w:pPr>
              <w:spacing w:before="60" w:after="60" w:line="240" w:lineRule="auto"/>
              <w:jc w:val="center"/>
              <w:rPr>
                <w:rFonts w:eastAsia="Verdana" w:cs="Verdana"/>
                <w:color w:val="000000" w:themeColor="text1"/>
                <w:sz w:val="20"/>
              </w:rPr>
            </w:pPr>
            <w:r w:rsidRPr="006B6723">
              <w:rPr>
                <w:rStyle w:val="normaltextrun"/>
                <w:rFonts w:eastAsia="Verdana" w:cs="Verdana"/>
                <w:color w:val="000000" w:themeColor="text1"/>
                <w:sz w:val="20"/>
                <w:szCs w:val="20"/>
              </w:rPr>
              <w:lastRenderedPageBreak/>
              <w:t>1.4</w:t>
            </w:r>
          </w:p>
        </w:tc>
        <w:tc>
          <w:tcPr>
            <w:tcW w:w="5125" w:type="dxa"/>
            <w:tcBorders>
              <w:top w:val="single" w:sz="6" w:space="0" w:color="auto"/>
              <w:left w:val="single" w:sz="6" w:space="0" w:color="auto"/>
              <w:bottom w:val="single" w:sz="6" w:space="0" w:color="auto"/>
              <w:right w:val="single" w:sz="6" w:space="0" w:color="auto"/>
            </w:tcBorders>
            <w:tcMar>
              <w:left w:w="105" w:type="dxa"/>
              <w:right w:w="105" w:type="dxa"/>
            </w:tcMar>
          </w:tcPr>
          <w:p w14:paraId="5C47A3C4" w14:textId="358DF7E7" w:rsidR="0015490A" w:rsidRPr="006B6723" w:rsidRDefault="0015490A" w:rsidP="00530A4C">
            <w:pPr>
              <w:spacing w:before="60" w:after="60" w:line="240" w:lineRule="auto"/>
              <w:rPr>
                <w:sz w:val="20"/>
              </w:rPr>
            </w:pPr>
            <w:r w:rsidRPr="006B6723">
              <w:rPr>
                <w:sz w:val="20"/>
              </w:rPr>
              <w:t>Supporting and enabling international visitation and market growth through balanced, agile and efficient management of the visitor visa program.</w:t>
            </w:r>
          </w:p>
        </w:tc>
        <w:tc>
          <w:tcPr>
            <w:tcW w:w="1984" w:type="dxa"/>
            <w:tcBorders>
              <w:top w:val="single" w:sz="6" w:space="0" w:color="auto"/>
              <w:left w:val="single" w:sz="6" w:space="0" w:color="auto"/>
              <w:bottom w:val="single" w:sz="6" w:space="0" w:color="auto"/>
              <w:right w:val="single" w:sz="6" w:space="0" w:color="auto"/>
            </w:tcBorders>
            <w:tcMar>
              <w:left w:w="105" w:type="dxa"/>
              <w:right w:w="105" w:type="dxa"/>
            </w:tcMar>
          </w:tcPr>
          <w:p w14:paraId="436289D1" w14:textId="305A918F" w:rsidR="0015490A" w:rsidRPr="006B6723" w:rsidRDefault="0015490A" w:rsidP="00530A4C">
            <w:pPr>
              <w:spacing w:before="60" w:after="60" w:line="240" w:lineRule="auto"/>
              <w:rPr>
                <w:sz w:val="20"/>
              </w:rPr>
            </w:pPr>
            <w:r w:rsidRPr="006B6723">
              <w:rPr>
                <w:sz w:val="20"/>
              </w:rPr>
              <w:t>Department of Home Affairs</w:t>
            </w:r>
          </w:p>
        </w:tc>
        <w:tc>
          <w:tcPr>
            <w:tcW w:w="5779" w:type="dxa"/>
            <w:tcBorders>
              <w:top w:val="single" w:sz="6" w:space="0" w:color="auto"/>
              <w:left w:val="single" w:sz="6" w:space="0" w:color="auto"/>
              <w:bottom w:val="single" w:sz="6" w:space="0" w:color="auto"/>
              <w:right w:val="single" w:sz="6" w:space="0" w:color="auto"/>
            </w:tcBorders>
          </w:tcPr>
          <w:p w14:paraId="3CF7496A" w14:textId="504080A5" w:rsidR="0015490A" w:rsidRDefault="0015490A" w:rsidP="00D52490">
            <w:pPr>
              <w:spacing w:before="60" w:after="60" w:line="240" w:lineRule="auto"/>
              <w:rPr>
                <w:rFonts w:eastAsia="Verdana" w:cs="Verdana"/>
                <w:sz w:val="20"/>
              </w:rPr>
            </w:pPr>
            <w:r w:rsidRPr="002E0DAF">
              <w:rPr>
                <w:rFonts w:eastAsia="Verdana" w:cs="Verdana"/>
                <w:sz w:val="20"/>
              </w:rPr>
              <w:t>Over 5.1</w:t>
            </w:r>
            <w:r>
              <w:rPr>
                <w:rFonts w:eastAsia="Verdana" w:cs="Verdana"/>
                <w:sz w:val="20"/>
              </w:rPr>
              <w:t xml:space="preserve"> </w:t>
            </w:r>
            <w:r w:rsidRPr="002E0DAF">
              <w:rPr>
                <w:rFonts w:eastAsia="Verdana" w:cs="Verdana"/>
                <w:sz w:val="20"/>
              </w:rPr>
              <w:t>million visitor visas were granted during the 2025-26 financial year (1 July 2025 – 30 June 2026), an increase of 4.9% from the previous year.</w:t>
            </w:r>
          </w:p>
          <w:p w14:paraId="47D99A9F" w14:textId="36F1C687" w:rsidR="0015490A" w:rsidRPr="006B6723" w:rsidRDefault="0015490A" w:rsidP="00530A4C">
            <w:pPr>
              <w:spacing w:before="60" w:after="60" w:line="240" w:lineRule="auto"/>
              <w:rPr>
                <w:rFonts w:eastAsia="Verdana" w:cs="Verdana"/>
                <w:sz w:val="20"/>
              </w:rPr>
            </w:pPr>
          </w:p>
        </w:tc>
        <w:tc>
          <w:tcPr>
            <w:tcW w:w="5561" w:type="dxa"/>
            <w:tcBorders>
              <w:top w:val="single" w:sz="6" w:space="0" w:color="auto"/>
              <w:left w:val="single" w:sz="6" w:space="0" w:color="auto"/>
              <w:bottom w:val="single" w:sz="6" w:space="0" w:color="auto"/>
              <w:right w:val="single" w:sz="6" w:space="0" w:color="auto"/>
            </w:tcBorders>
            <w:shd w:val="clear" w:color="auto" w:fill="FFFFFF" w:themeFill="background1"/>
          </w:tcPr>
          <w:p w14:paraId="62215301" w14:textId="434626F8" w:rsidR="0015490A" w:rsidRPr="006B6723" w:rsidRDefault="0015490A" w:rsidP="00530A4C">
            <w:pPr>
              <w:spacing w:before="60" w:after="60" w:line="240" w:lineRule="auto"/>
              <w:rPr>
                <w:rFonts w:eastAsia="Verdana" w:cs="Verdana"/>
                <w:sz w:val="20"/>
              </w:rPr>
            </w:pPr>
            <w:r w:rsidRPr="70C72A7D">
              <w:rPr>
                <w:rFonts w:eastAsia="Verdana" w:cs="Verdana"/>
                <w:sz w:val="20"/>
              </w:rPr>
              <w:t xml:space="preserve">The Government will continue to </w:t>
            </w:r>
            <w:r w:rsidR="003048BE">
              <w:rPr>
                <w:rFonts w:eastAsia="Verdana" w:cs="Verdana"/>
                <w:sz w:val="20"/>
              </w:rPr>
              <w:t>facilitate</w:t>
            </w:r>
            <w:r w:rsidRPr="70C72A7D">
              <w:rPr>
                <w:rFonts w:eastAsia="Verdana" w:cs="Verdana"/>
                <w:sz w:val="20"/>
              </w:rPr>
              <w:t xml:space="preserve"> visitors </w:t>
            </w:r>
            <w:r w:rsidR="00C371A7">
              <w:rPr>
                <w:rFonts w:eastAsia="Verdana" w:cs="Verdana"/>
                <w:sz w:val="20"/>
              </w:rPr>
              <w:t xml:space="preserve">in line with </w:t>
            </w:r>
            <w:r w:rsidRPr="70C72A7D">
              <w:rPr>
                <w:rFonts w:eastAsia="Verdana" w:cs="Verdana"/>
                <w:sz w:val="20"/>
              </w:rPr>
              <w:t xml:space="preserve">the </w:t>
            </w:r>
            <w:r w:rsidRPr="6429E504">
              <w:rPr>
                <w:rFonts w:eastAsia="Verdana" w:cs="Verdana"/>
                <w:sz w:val="20"/>
              </w:rPr>
              <w:t>Government's</w:t>
            </w:r>
            <w:r w:rsidRPr="70C72A7D">
              <w:rPr>
                <w:rFonts w:eastAsia="Verdana" w:cs="Verdana"/>
                <w:sz w:val="20"/>
              </w:rPr>
              <w:t xml:space="preserve"> </w:t>
            </w:r>
            <w:r w:rsidRPr="3FAF83FD">
              <w:rPr>
                <w:rFonts w:eastAsia="Verdana" w:cs="Verdana"/>
                <w:sz w:val="20"/>
              </w:rPr>
              <w:t xml:space="preserve">migration and tourism policy </w:t>
            </w:r>
            <w:r w:rsidRPr="6429E504">
              <w:rPr>
                <w:rFonts w:eastAsia="Verdana" w:cs="Verdana"/>
                <w:sz w:val="20"/>
              </w:rPr>
              <w:t xml:space="preserve">objectives. </w:t>
            </w:r>
          </w:p>
        </w:tc>
      </w:tr>
      <w:tr w:rsidR="0015490A" w:rsidRPr="006B6723" w14:paraId="6E8914AD" w14:textId="4E01D518" w:rsidTr="0015490A">
        <w:trPr>
          <w:cnfStyle w:val="000000100000" w:firstRow="0" w:lastRow="0" w:firstColumn="0" w:lastColumn="0" w:oddVBand="0" w:evenVBand="0" w:oddHBand="1" w:evenHBand="0" w:firstRowFirstColumn="0" w:firstRowLastColumn="0" w:lastRowFirstColumn="0" w:lastRowLastColumn="0"/>
          <w:trHeight w:val="300"/>
        </w:trPr>
        <w:tc>
          <w:tcPr>
            <w:tcW w:w="971" w:type="dxa"/>
            <w:tcBorders>
              <w:top w:val="single" w:sz="6" w:space="0" w:color="auto"/>
              <w:left w:val="single" w:sz="6" w:space="0" w:color="auto"/>
              <w:bottom w:val="single" w:sz="6" w:space="0" w:color="auto"/>
              <w:right w:val="single" w:sz="6" w:space="0" w:color="auto"/>
            </w:tcBorders>
            <w:tcMar>
              <w:left w:w="105" w:type="dxa"/>
              <w:right w:w="105" w:type="dxa"/>
            </w:tcMar>
          </w:tcPr>
          <w:p w14:paraId="128F0984" w14:textId="2BA15B47" w:rsidR="0015490A" w:rsidRPr="006B6723" w:rsidRDefault="0015490A" w:rsidP="00530A4C">
            <w:pPr>
              <w:spacing w:before="60" w:after="60" w:line="240" w:lineRule="auto"/>
              <w:jc w:val="center"/>
              <w:rPr>
                <w:rFonts w:eastAsia="Verdana" w:cs="Verdana"/>
                <w:color w:val="000000" w:themeColor="text1"/>
                <w:sz w:val="20"/>
              </w:rPr>
            </w:pPr>
            <w:r w:rsidRPr="00477761">
              <w:rPr>
                <w:rStyle w:val="normaltextrun"/>
                <w:rFonts w:eastAsia="Verdana" w:cs="Verdana"/>
                <w:color w:val="000000" w:themeColor="text1"/>
                <w:sz w:val="20"/>
                <w:szCs w:val="20"/>
              </w:rPr>
              <w:t>1.5</w:t>
            </w:r>
          </w:p>
        </w:tc>
        <w:tc>
          <w:tcPr>
            <w:tcW w:w="5125" w:type="dxa"/>
            <w:tcBorders>
              <w:top w:val="single" w:sz="6" w:space="0" w:color="auto"/>
              <w:left w:val="single" w:sz="6" w:space="0" w:color="auto"/>
              <w:bottom w:val="single" w:sz="6" w:space="0" w:color="auto"/>
              <w:right w:val="single" w:sz="6" w:space="0" w:color="auto"/>
            </w:tcBorders>
            <w:tcMar>
              <w:left w:w="105" w:type="dxa"/>
              <w:right w:w="105" w:type="dxa"/>
            </w:tcMar>
          </w:tcPr>
          <w:p w14:paraId="146CCED1" w14:textId="270C0E49" w:rsidR="0015490A" w:rsidRPr="006B6723" w:rsidRDefault="0015490A" w:rsidP="00530A4C">
            <w:pPr>
              <w:spacing w:before="60" w:after="60" w:line="240" w:lineRule="auto"/>
              <w:rPr>
                <w:sz w:val="20"/>
              </w:rPr>
            </w:pPr>
            <w:r w:rsidRPr="006B6723">
              <w:rPr>
                <w:sz w:val="20"/>
              </w:rPr>
              <w:t>Modernising and streamlining traveller border clearances for air and cruise travellers, including through trialling digital incoming passenger cards, while maintaining strong security and biosecurity protections for Australia.</w:t>
            </w:r>
          </w:p>
        </w:tc>
        <w:tc>
          <w:tcPr>
            <w:tcW w:w="1984" w:type="dxa"/>
            <w:tcBorders>
              <w:top w:val="single" w:sz="6" w:space="0" w:color="auto"/>
              <w:left w:val="single" w:sz="6" w:space="0" w:color="auto"/>
              <w:bottom w:val="single" w:sz="6" w:space="0" w:color="auto"/>
              <w:right w:val="single" w:sz="6" w:space="0" w:color="auto"/>
            </w:tcBorders>
            <w:tcMar>
              <w:left w:w="105" w:type="dxa"/>
              <w:right w:w="105" w:type="dxa"/>
            </w:tcMar>
          </w:tcPr>
          <w:p w14:paraId="2D46F4CE" w14:textId="2543D39B" w:rsidR="0015490A" w:rsidRPr="006B6723" w:rsidRDefault="0015490A" w:rsidP="00530A4C">
            <w:pPr>
              <w:spacing w:before="60" w:after="60" w:line="240" w:lineRule="auto"/>
              <w:rPr>
                <w:sz w:val="20"/>
              </w:rPr>
            </w:pPr>
            <w:r w:rsidRPr="006B6723">
              <w:rPr>
                <w:sz w:val="20"/>
              </w:rPr>
              <w:t>Australian Border Force, Department of Agriculture, Forestry and Fisheries (DAFF)</w:t>
            </w:r>
          </w:p>
        </w:tc>
        <w:tc>
          <w:tcPr>
            <w:tcW w:w="5779" w:type="dxa"/>
            <w:tcBorders>
              <w:top w:val="single" w:sz="6" w:space="0" w:color="auto"/>
              <w:left w:val="single" w:sz="6" w:space="0" w:color="auto"/>
              <w:bottom w:val="single" w:sz="6" w:space="0" w:color="auto"/>
              <w:right w:val="single" w:sz="6" w:space="0" w:color="auto"/>
            </w:tcBorders>
          </w:tcPr>
          <w:p w14:paraId="720391FA" w14:textId="1759DDCF" w:rsidR="0015490A" w:rsidRDefault="0015490A" w:rsidP="00E54936">
            <w:pPr>
              <w:spacing w:before="60" w:after="60" w:line="240" w:lineRule="auto"/>
              <w:rPr>
                <w:rFonts w:eastAsia="Verdana" w:cs="Verdana"/>
                <w:sz w:val="20"/>
              </w:rPr>
            </w:pPr>
            <w:r w:rsidRPr="00076997">
              <w:rPr>
                <w:rFonts w:eastAsia="Verdana" w:cs="Verdana"/>
                <w:sz w:val="20"/>
              </w:rPr>
              <w:t xml:space="preserve">In July 2026, the </w:t>
            </w:r>
            <w:hyperlink r:id="rId15" w:history="1">
              <w:r w:rsidRPr="00235181">
                <w:rPr>
                  <w:rStyle w:val="Hyperlink"/>
                  <w:rFonts w:eastAsia="Verdana" w:cs="Verdana"/>
                  <w:sz w:val="20"/>
                </w:rPr>
                <w:t>Government announced</w:t>
              </w:r>
            </w:hyperlink>
            <w:r w:rsidRPr="00073675">
              <w:rPr>
                <w:rFonts w:eastAsia="Verdana" w:cs="Verdana"/>
                <w:b/>
                <w:bCs/>
                <w:sz w:val="20"/>
              </w:rPr>
              <w:t xml:space="preserve"> </w:t>
            </w:r>
            <w:r w:rsidRPr="00076997">
              <w:rPr>
                <w:rFonts w:eastAsia="Verdana" w:cs="Verdana"/>
                <w:sz w:val="20"/>
              </w:rPr>
              <w:t>$56.1</w:t>
            </w:r>
            <w:r>
              <w:rPr>
                <w:rFonts w:eastAsia="Verdana" w:cs="Verdana"/>
                <w:sz w:val="20"/>
              </w:rPr>
              <w:t xml:space="preserve"> </w:t>
            </w:r>
            <w:r w:rsidRPr="00076997">
              <w:rPr>
                <w:rFonts w:eastAsia="Verdana" w:cs="Verdana"/>
                <w:sz w:val="20"/>
              </w:rPr>
              <w:t>m</w:t>
            </w:r>
            <w:r>
              <w:rPr>
                <w:rFonts w:eastAsia="Verdana" w:cs="Verdana"/>
                <w:sz w:val="20"/>
              </w:rPr>
              <w:t>illion</w:t>
            </w:r>
            <w:r w:rsidRPr="00076997">
              <w:rPr>
                <w:rFonts w:eastAsia="Verdana" w:cs="Verdana"/>
                <w:sz w:val="20"/>
              </w:rPr>
              <w:t xml:space="preserve"> over the next four years for traveller modernisation activities, including to roll out the digital Australian Traveller Declaration (ATD) to all international airports over the next 12 to 18 months and </w:t>
            </w:r>
            <w:r>
              <w:rPr>
                <w:rFonts w:eastAsia="Verdana" w:cs="Verdana"/>
                <w:sz w:val="20"/>
              </w:rPr>
              <w:t>to</w:t>
            </w:r>
            <w:r w:rsidRPr="00076997">
              <w:rPr>
                <w:rFonts w:eastAsia="Verdana" w:cs="Verdana"/>
                <w:sz w:val="20"/>
              </w:rPr>
              <w:t xml:space="preserve"> the cruise sector by the end of 2027. </w:t>
            </w:r>
          </w:p>
          <w:p w14:paraId="5E237912" w14:textId="77777777" w:rsidR="0015490A" w:rsidRPr="00841D69" w:rsidRDefault="0015490A" w:rsidP="00FA5617">
            <w:pPr>
              <w:pStyle w:val="ListParagraph"/>
              <w:numPr>
                <w:ilvl w:val="0"/>
                <w:numId w:val="13"/>
              </w:numPr>
              <w:spacing w:before="60" w:after="60" w:line="240" w:lineRule="auto"/>
              <w:rPr>
                <w:rFonts w:eastAsia="Verdana" w:cs="Verdana"/>
                <w:sz w:val="20"/>
              </w:rPr>
            </w:pPr>
            <w:r w:rsidRPr="00076997">
              <w:rPr>
                <w:rFonts w:eastAsia="Verdana" w:cs="Verdana"/>
                <w:sz w:val="20"/>
              </w:rPr>
              <w:t>The funding will also support ongoing co-design work with industry on new airport departures and cruise clearance models.</w:t>
            </w:r>
          </w:p>
          <w:p w14:paraId="6F63133A" w14:textId="3908ED1E" w:rsidR="0015490A" w:rsidRPr="00D30DD2" w:rsidRDefault="0015490A" w:rsidP="00FA5617">
            <w:pPr>
              <w:pStyle w:val="ListParagraph"/>
              <w:numPr>
                <w:ilvl w:val="0"/>
                <w:numId w:val="13"/>
              </w:numPr>
              <w:spacing w:before="60" w:after="60" w:line="240" w:lineRule="auto"/>
              <w:rPr>
                <w:rFonts w:eastAsia="Verdana" w:cs="Verdana"/>
                <w:sz w:val="20"/>
              </w:rPr>
            </w:pPr>
            <w:r w:rsidRPr="00841D69">
              <w:rPr>
                <w:rFonts w:eastAsia="Verdana" w:cs="Verdana"/>
                <w:sz w:val="20"/>
              </w:rPr>
              <w:t>A family declaration capability has been deployed, and more than 600,000 submissions made as part of the pilot for Qantas passengers on flights into Brisbane, Sydney and Melbourne.</w:t>
            </w:r>
          </w:p>
        </w:tc>
        <w:tc>
          <w:tcPr>
            <w:tcW w:w="5561" w:type="dxa"/>
            <w:tcBorders>
              <w:top w:val="single" w:sz="6" w:space="0" w:color="auto"/>
              <w:left w:val="single" w:sz="6" w:space="0" w:color="auto"/>
              <w:bottom w:val="single" w:sz="6" w:space="0" w:color="auto"/>
              <w:right w:val="single" w:sz="6" w:space="0" w:color="auto"/>
            </w:tcBorders>
          </w:tcPr>
          <w:p w14:paraId="372053A4" w14:textId="5BF826C8" w:rsidR="0015490A" w:rsidRDefault="0015490A" w:rsidP="0053795C">
            <w:pPr>
              <w:spacing w:before="60" w:after="60" w:line="240" w:lineRule="auto"/>
              <w:rPr>
                <w:rFonts w:eastAsia="Verdana" w:cs="Verdana"/>
                <w:sz w:val="20"/>
              </w:rPr>
            </w:pPr>
            <w:r w:rsidRPr="00076997">
              <w:rPr>
                <w:rFonts w:eastAsia="Verdana" w:cs="Verdana"/>
                <w:sz w:val="20"/>
              </w:rPr>
              <w:t xml:space="preserve">The next stage of the </w:t>
            </w:r>
            <w:r>
              <w:rPr>
                <w:rFonts w:eastAsia="Verdana" w:cs="Verdana"/>
                <w:sz w:val="20"/>
              </w:rPr>
              <w:t>ATD rollout</w:t>
            </w:r>
            <w:r w:rsidRPr="00076997">
              <w:rPr>
                <w:rFonts w:eastAsia="Verdana" w:cs="Verdana"/>
                <w:sz w:val="20"/>
              </w:rPr>
              <w:t xml:space="preserve"> project will see the trial web form deployed at Western Sydney International airport </w:t>
            </w:r>
            <w:r>
              <w:rPr>
                <w:rFonts w:eastAsia="Verdana" w:cs="Verdana"/>
                <w:sz w:val="20"/>
              </w:rPr>
              <w:t xml:space="preserve">(WSI) </w:t>
            </w:r>
            <w:r w:rsidRPr="00076997">
              <w:rPr>
                <w:rFonts w:eastAsia="Verdana" w:cs="Verdana"/>
                <w:sz w:val="20"/>
              </w:rPr>
              <w:t>for all arriving passengers on all airlines from day one</w:t>
            </w:r>
            <w:r>
              <w:rPr>
                <w:rFonts w:eastAsia="Verdana" w:cs="Verdana"/>
                <w:sz w:val="20"/>
              </w:rPr>
              <w:t xml:space="preserve"> (with the first international flight due to land at WSI on 26 October 2026)</w:t>
            </w:r>
            <w:r w:rsidRPr="00076997">
              <w:rPr>
                <w:rFonts w:eastAsia="Verdana" w:cs="Verdana"/>
                <w:sz w:val="20"/>
              </w:rPr>
              <w:t xml:space="preserve">. </w:t>
            </w:r>
            <w:r>
              <w:rPr>
                <w:rFonts w:eastAsia="Verdana" w:cs="Verdana"/>
                <w:sz w:val="20"/>
              </w:rPr>
              <w:t xml:space="preserve">ATO </w:t>
            </w:r>
            <w:r w:rsidRPr="00841D69">
              <w:rPr>
                <w:rFonts w:eastAsia="Verdana" w:cs="Verdana"/>
                <w:sz w:val="20"/>
              </w:rPr>
              <w:t xml:space="preserve">rollout </w:t>
            </w:r>
            <w:r>
              <w:rPr>
                <w:rFonts w:eastAsia="Verdana" w:cs="Verdana"/>
                <w:sz w:val="20"/>
              </w:rPr>
              <w:t xml:space="preserve">to </w:t>
            </w:r>
            <w:r w:rsidRPr="00841D69">
              <w:rPr>
                <w:rFonts w:eastAsia="Verdana" w:cs="Verdana"/>
                <w:sz w:val="20"/>
              </w:rPr>
              <w:t>Perth airport</w:t>
            </w:r>
            <w:r>
              <w:rPr>
                <w:rFonts w:eastAsia="Verdana" w:cs="Verdana"/>
                <w:sz w:val="20"/>
              </w:rPr>
              <w:t xml:space="preserve"> is</w:t>
            </w:r>
            <w:r w:rsidRPr="00841D69">
              <w:rPr>
                <w:rFonts w:eastAsia="Verdana" w:cs="Verdana"/>
                <w:sz w:val="20"/>
              </w:rPr>
              <w:t xml:space="preserve"> scheduled for October 2026.</w:t>
            </w:r>
          </w:p>
          <w:p w14:paraId="6424F72F" w14:textId="24DC6BCD" w:rsidR="0015490A" w:rsidRPr="00076997" w:rsidRDefault="0015490A" w:rsidP="0053795C">
            <w:pPr>
              <w:spacing w:before="60" w:after="60" w:line="240" w:lineRule="auto"/>
              <w:rPr>
                <w:rFonts w:eastAsia="Verdana" w:cs="Verdana"/>
                <w:sz w:val="20"/>
              </w:rPr>
            </w:pPr>
            <w:r w:rsidRPr="00076997">
              <w:rPr>
                <w:rFonts w:eastAsia="Verdana" w:cs="Verdana"/>
                <w:sz w:val="20"/>
              </w:rPr>
              <w:t>Planning continues for rollout for all air passengers nationally in mid-2027</w:t>
            </w:r>
            <w:r>
              <w:rPr>
                <w:rFonts w:eastAsia="Verdana" w:cs="Verdana"/>
                <w:sz w:val="20"/>
              </w:rPr>
              <w:t>,</w:t>
            </w:r>
            <w:r w:rsidRPr="00076997">
              <w:rPr>
                <w:rFonts w:eastAsia="Verdana" w:cs="Verdana"/>
                <w:sz w:val="20"/>
              </w:rPr>
              <w:t xml:space="preserve"> and</w:t>
            </w:r>
            <w:r>
              <w:rPr>
                <w:rFonts w:eastAsia="Verdana" w:cs="Verdana"/>
                <w:sz w:val="20"/>
              </w:rPr>
              <w:t xml:space="preserve"> for</w:t>
            </w:r>
            <w:r w:rsidRPr="00076997">
              <w:rPr>
                <w:rFonts w:eastAsia="Verdana" w:cs="Verdana"/>
                <w:sz w:val="20"/>
              </w:rPr>
              <w:t xml:space="preserve"> cruise passengers later in 2027.</w:t>
            </w:r>
          </w:p>
          <w:p w14:paraId="52FD0B6E" w14:textId="0AE27F13" w:rsidR="0015490A" w:rsidRPr="0053795C" w:rsidRDefault="0015490A" w:rsidP="0053795C">
            <w:pPr>
              <w:spacing w:before="60" w:after="60" w:line="240" w:lineRule="auto"/>
              <w:rPr>
                <w:rFonts w:eastAsia="Verdana" w:cs="Verdana"/>
                <w:sz w:val="20"/>
              </w:rPr>
            </w:pPr>
          </w:p>
        </w:tc>
      </w:tr>
      <w:tr w:rsidR="0015490A" w:rsidRPr="006B6723" w14:paraId="7908C173" w14:textId="1108AA6B" w:rsidTr="0015490A">
        <w:trPr>
          <w:trHeight w:val="547"/>
        </w:trPr>
        <w:tc>
          <w:tcPr>
            <w:tcW w:w="971" w:type="dxa"/>
            <w:tcBorders>
              <w:top w:val="single" w:sz="6" w:space="0" w:color="auto"/>
              <w:left w:val="single" w:sz="6" w:space="0" w:color="auto"/>
              <w:bottom w:val="single" w:sz="6" w:space="0" w:color="auto"/>
              <w:right w:val="single" w:sz="6" w:space="0" w:color="auto"/>
            </w:tcBorders>
            <w:tcMar>
              <w:left w:w="105" w:type="dxa"/>
              <w:right w:w="105" w:type="dxa"/>
            </w:tcMar>
          </w:tcPr>
          <w:p w14:paraId="78D70B7E" w14:textId="36EF3475" w:rsidR="0015490A" w:rsidRPr="006B6723" w:rsidRDefault="0015490A" w:rsidP="00530A4C">
            <w:pPr>
              <w:spacing w:before="60" w:after="60" w:line="240" w:lineRule="auto"/>
              <w:jc w:val="center"/>
              <w:rPr>
                <w:rFonts w:eastAsia="Verdana" w:cs="Verdana"/>
                <w:color w:val="000000" w:themeColor="text1"/>
                <w:sz w:val="20"/>
              </w:rPr>
            </w:pPr>
            <w:r w:rsidRPr="006B6723">
              <w:rPr>
                <w:rFonts w:eastAsia="Verdana" w:cs="Verdana"/>
                <w:color w:val="000000" w:themeColor="text1"/>
                <w:sz w:val="20"/>
              </w:rPr>
              <w:t>2.1</w:t>
            </w:r>
          </w:p>
        </w:tc>
        <w:tc>
          <w:tcPr>
            <w:tcW w:w="5125" w:type="dxa"/>
            <w:tcBorders>
              <w:top w:val="single" w:sz="6" w:space="0" w:color="auto"/>
              <w:left w:val="single" w:sz="6" w:space="0" w:color="auto"/>
              <w:bottom w:val="single" w:sz="6" w:space="0" w:color="auto"/>
              <w:right w:val="single" w:sz="6" w:space="0" w:color="auto"/>
            </w:tcBorders>
            <w:tcMar>
              <w:left w:w="105" w:type="dxa"/>
              <w:right w:w="105" w:type="dxa"/>
            </w:tcMar>
          </w:tcPr>
          <w:p w14:paraId="0AD3009B" w14:textId="2842BF59" w:rsidR="0015490A" w:rsidRPr="006B6723" w:rsidRDefault="0015490A" w:rsidP="00530A4C">
            <w:pPr>
              <w:spacing w:before="60" w:after="60" w:line="240" w:lineRule="auto"/>
              <w:rPr>
                <w:rFonts w:eastAsia="Verdana" w:cs="Verdana"/>
                <w:color w:val="000000" w:themeColor="text1"/>
                <w:sz w:val="20"/>
              </w:rPr>
            </w:pPr>
            <w:r w:rsidRPr="006B6723">
              <w:rPr>
                <w:sz w:val="20"/>
              </w:rPr>
              <w:t>Supporting visitation to Australia’s iconic destinations with investment into Central Australia and the Great Barrier Reef, by investing $18.5 million in experiences to attract visitors, supporting small businesses and upgrading tourism infrastructure.</w:t>
            </w:r>
          </w:p>
        </w:tc>
        <w:tc>
          <w:tcPr>
            <w:tcW w:w="1984" w:type="dxa"/>
            <w:tcBorders>
              <w:top w:val="single" w:sz="6" w:space="0" w:color="auto"/>
              <w:left w:val="single" w:sz="6" w:space="0" w:color="auto"/>
              <w:bottom w:val="single" w:sz="6" w:space="0" w:color="auto"/>
              <w:right w:val="single" w:sz="6" w:space="0" w:color="auto"/>
            </w:tcBorders>
            <w:tcMar>
              <w:left w:w="105" w:type="dxa"/>
              <w:right w:w="105" w:type="dxa"/>
            </w:tcMar>
          </w:tcPr>
          <w:p w14:paraId="0D4A4C34" w14:textId="794BB09A" w:rsidR="0015490A" w:rsidRPr="006B6723" w:rsidRDefault="0015490A" w:rsidP="00530A4C">
            <w:pPr>
              <w:spacing w:before="60" w:after="60" w:line="240" w:lineRule="auto"/>
              <w:rPr>
                <w:sz w:val="20"/>
              </w:rPr>
            </w:pPr>
            <w:r w:rsidRPr="006B6723">
              <w:rPr>
                <w:sz w:val="20"/>
              </w:rPr>
              <w:t>Austrade</w:t>
            </w:r>
          </w:p>
        </w:tc>
        <w:tc>
          <w:tcPr>
            <w:tcW w:w="5779" w:type="dxa"/>
            <w:tcBorders>
              <w:top w:val="single" w:sz="6" w:space="0" w:color="auto"/>
              <w:left w:val="single" w:sz="6" w:space="0" w:color="auto"/>
              <w:bottom w:val="single" w:sz="6" w:space="0" w:color="auto"/>
              <w:right w:val="single" w:sz="6" w:space="0" w:color="000000" w:themeColor="text1"/>
            </w:tcBorders>
          </w:tcPr>
          <w:p w14:paraId="4D2FB911" w14:textId="5E31B6BD" w:rsidR="0015490A" w:rsidRDefault="0015490A" w:rsidP="00530A4C">
            <w:pPr>
              <w:spacing w:before="60" w:after="60" w:line="240" w:lineRule="auto"/>
              <w:rPr>
                <w:rFonts w:eastAsia="Verdana" w:cs="Verdana"/>
                <w:sz w:val="20"/>
              </w:rPr>
            </w:pPr>
            <w:r w:rsidRPr="006B6723">
              <w:rPr>
                <w:rFonts w:eastAsia="Verdana" w:cs="Verdana"/>
                <w:sz w:val="20"/>
              </w:rPr>
              <w:t>The delivery of the $8.5 million package for Central Australia and $10 million package for the Great Barrier Reef</w:t>
            </w:r>
            <w:r>
              <w:rPr>
                <w:rFonts w:eastAsia="Verdana" w:cs="Verdana"/>
                <w:sz w:val="20"/>
              </w:rPr>
              <w:t xml:space="preserve"> (REEF) remained</w:t>
            </w:r>
            <w:r w:rsidRPr="006B6723">
              <w:rPr>
                <w:rFonts w:eastAsia="Verdana" w:cs="Verdana"/>
                <w:sz w:val="20"/>
              </w:rPr>
              <w:t xml:space="preserve"> on track. </w:t>
            </w:r>
          </w:p>
          <w:p w14:paraId="29333D1E" w14:textId="6587D273" w:rsidR="0015490A" w:rsidRPr="0040720F" w:rsidRDefault="0015490A" w:rsidP="00726FB4">
            <w:pPr>
              <w:spacing w:before="60" w:after="60" w:line="240" w:lineRule="auto"/>
              <w:rPr>
                <w:rFonts w:eastAsia="Verdana" w:cs="Verdana"/>
                <w:sz w:val="20"/>
              </w:rPr>
            </w:pPr>
            <w:r w:rsidRPr="0040720F">
              <w:rPr>
                <w:rFonts w:eastAsia="Verdana" w:cs="Verdana"/>
                <w:sz w:val="20"/>
              </w:rPr>
              <w:t xml:space="preserve">The $6 million </w:t>
            </w:r>
            <w:hyperlink r:id="rId16" w:history="1">
              <w:r w:rsidRPr="0022507A">
                <w:rPr>
                  <w:rStyle w:val="Hyperlink"/>
                  <w:rFonts w:eastAsia="Verdana" w:cs="Verdana"/>
                  <w:sz w:val="20"/>
                </w:rPr>
                <w:t>Kids for the Reef School Excursion Rebate program</w:t>
              </w:r>
            </w:hyperlink>
            <w:r w:rsidRPr="0040720F">
              <w:rPr>
                <w:rFonts w:eastAsia="Verdana" w:cs="Verdana"/>
                <w:sz w:val="20"/>
              </w:rPr>
              <w:t xml:space="preserve"> opened for applications on 21 July 2026. The program offers Australian Government rebates for eligible Year 4 to Year 12 excursions to the Great Barrier Reef region.</w:t>
            </w:r>
          </w:p>
          <w:p w14:paraId="2FF318FC" w14:textId="77777777" w:rsidR="0015490A" w:rsidRDefault="0015490A" w:rsidP="00F54262">
            <w:pPr>
              <w:pStyle w:val="ListParagraph"/>
              <w:numPr>
                <w:ilvl w:val="0"/>
                <w:numId w:val="13"/>
              </w:numPr>
              <w:spacing w:before="60" w:after="60" w:line="240" w:lineRule="auto"/>
              <w:rPr>
                <w:rFonts w:eastAsia="Verdana" w:cs="Verdana"/>
                <w:sz w:val="20"/>
              </w:rPr>
            </w:pPr>
            <w:r w:rsidRPr="003D2097">
              <w:rPr>
                <w:rFonts w:eastAsia="Verdana" w:cs="Verdana"/>
                <w:sz w:val="20"/>
              </w:rPr>
              <w:t>The total Kids for the Reef rebate amount approved at the end of September 2026 is $174,760 which will support over 550 students to visit the Reef. </w:t>
            </w:r>
          </w:p>
          <w:p w14:paraId="58A576C2" w14:textId="4BB3132A" w:rsidR="0015490A" w:rsidRPr="0040720F" w:rsidRDefault="0015490A" w:rsidP="00FA5617">
            <w:pPr>
              <w:pStyle w:val="ListParagraph"/>
              <w:numPr>
                <w:ilvl w:val="0"/>
                <w:numId w:val="13"/>
              </w:numPr>
              <w:spacing w:before="60" w:after="60" w:line="240" w:lineRule="auto"/>
              <w:rPr>
                <w:rFonts w:eastAsia="Verdana" w:cs="Verdana"/>
                <w:sz w:val="20"/>
              </w:rPr>
            </w:pPr>
            <w:r w:rsidRPr="0040720F">
              <w:rPr>
                <w:rFonts w:eastAsia="Verdana" w:cs="Verdana"/>
                <w:sz w:val="20"/>
              </w:rPr>
              <w:t>Under the REEF program, the Association of Marine Park Tourism Operators commenced delivery of a train the trainer program.</w:t>
            </w:r>
          </w:p>
          <w:p w14:paraId="17BBCC74" w14:textId="2D67032D" w:rsidR="0015490A" w:rsidRDefault="0015490A" w:rsidP="00726FB4">
            <w:pPr>
              <w:spacing w:before="60" w:after="60" w:line="240" w:lineRule="auto"/>
              <w:rPr>
                <w:rFonts w:eastAsia="Verdana" w:cs="Verdana"/>
                <w:sz w:val="20"/>
              </w:rPr>
            </w:pPr>
            <w:r w:rsidRPr="0040720F">
              <w:rPr>
                <w:rFonts w:eastAsia="Verdana" w:cs="Verdana"/>
                <w:sz w:val="20"/>
              </w:rPr>
              <w:t xml:space="preserve">Tourism Central Australia launched the </w:t>
            </w:r>
            <w:hyperlink r:id="rId17" w:history="1">
              <w:r w:rsidRPr="007C604D">
                <w:rPr>
                  <w:rStyle w:val="Hyperlink"/>
                  <w:rFonts w:eastAsia="Verdana" w:cs="Verdana"/>
                  <w:sz w:val="20"/>
                </w:rPr>
                <w:t>Fly Free to Alice campaign</w:t>
              </w:r>
            </w:hyperlink>
            <w:r w:rsidRPr="0040720F">
              <w:rPr>
                <w:rFonts w:eastAsia="Verdana" w:cs="Verdana"/>
                <w:sz w:val="20"/>
              </w:rPr>
              <w:t xml:space="preserve"> in July and the </w:t>
            </w:r>
            <w:hyperlink r:id="rId18" w:history="1">
              <w:r w:rsidRPr="00605DFC">
                <w:rPr>
                  <w:rStyle w:val="Hyperlink"/>
                  <w:rFonts w:eastAsia="Verdana" w:cs="Verdana"/>
                  <w:sz w:val="20"/>
                </w:rPr>
                <w:t>Red Centre Drive Voucher campaign</w:t>
              </w:r>
            </w:hyperlink>
            <w:r w:rsidRPr="0040720F">
              <w:rPr>
                <w:rFonts w:eastAsia="Verdana" w:cs="Verdana"/>
                <w:sz w:val="20"/>
              </w:rPr>
              <w:t xml:space="preserve"> in September. </w:t>
            </w:r>
          </w:p>
          <w:p w14:paraId="300CCC66" w14:textId="00F024AE" w:rsidR="0015490A" w:rsidRPr="0040720F" w:rsidRDefault="0015490A" w:rsidP="00FA5617">
            <w:pPr>
              <w:pStyle w:val="ListParagraph"/>
              <w:numPr>
                <w:ilvl w:val="0"/>
                <w:numId w:val="13"/>
              </w:numPr>
              <w:spacing w:before="60" w:after="60" w:line="240" w:lineRule="auto"/>
              <w:rPr>
                <w:rFonts w:eastAsia="Verdana" w:cs="Verdana"/>
                <w:sz w:val="20"/>
              </w:rPr>
            </w:pPr>
            <w:r w:rsidRPr="0040720F">
              <w:rPr>
                <w:rFonts w:eastAsia="Verdana" w:cs="Verdana"/>
                <w:sz w:val="20"/>
              </w:rPr>
              <w:lastRenderedPageBreak/>
              <w:t xml:space="preserve">Both campaigns are funded through the $5 million Red Centre Marketing Boost. </w:t>
            </w:r>
          </w:p>
          <w:p w14:paraId="1580D8D6" w14:textId="464B021A" w:rsidR="0015490A" w:rsidRPr="003A6FBE" w:rsidRDefault="0015490A" w:rsidP="00726FB4">
            <w:pPr>
              <w:spacing w:before="60" w:after="60" w:line="240" w:lineRule="auto"/>
            </w:pPr>
            <w:r w:rsidRPr="00DD0376">
              <w:rPr>
                <w:rFonts w:eastAsia="Verdana" w:cs="Verdana"/>
                <w:sz w:val="20"/>
              </w:rPr>
              <w:t xml:space="preserve">Agreements have been put in place with the 17 tourism businesses that were successful in receiving a grant under the $2.5 million </w:t>
            </w:r>
            <w:hyperlink r:id="rId19">
              <w:r w:rsidRPr="655ECC6C">
                <w:rPr>
                  <w:rStyle w:val="Hyperlink"/>
                  <w:rFonts w:eastAsia="Verdana" w:cs="Verdana"/>
                  <w:sz w:val="20"/>
                </w:rPr>
                <w:t>Red Centre Tourism Development Fund</w:t>
              </w:r>
            </w:hyperlink>
            <w:r w:rsidRPr="00DD0376">
              <w:rPr>
                <w:rFonts w:eastAsia="Verdana" w:cs="Verdana"/>
                <w:sz w:val="20"/>
              </w:rPr>
              <w:t xml:space="preserve"> in July 2026 and work </w:t>
            </w:r>
            <w:r>
              <w:rPr>
                <w:rFonts w:eastAsia="Verdana" w:cs="Verdana"/>
                <w:sz w:val="20"/>
              </w:rPr>
              <w:t>commenced</w:t>
            </w:r>
            <w:r w:rsidRPr="00DD0376">
              <w:rPr>
                <w:rFonts w:eastAsia="Verdana" w:cs="Verdana"/>
                <w:sz w:val="20"/>
              </w:rPr>
              <w:t xml:space="preserve"> on these projects</w:t>
            </w:r>
            <w:r>
              <w:rPr>
                <w:rFonts w:eastAsia="Verdana" w:cs="Verdana"/>
                <w:sz w:val="20"/>
              </w:rPr>
              <w:t>.</w:t>
            </w:r>
          </w:p>
          <w:p w14:paraId="1CEF7E58" w14:textId="65AB526B" w:rsidR="0015490A" w:rsidRPr="003A6FBE" w:rsidRDefault="0015490A" w:rsidP="00726FB4">
            <w:pPr>
              <w:spacing w:before="60" w:after="60" w:line="240" w:lineRule="auto"/>
              <w:rPr>
                <w:rFonts w:eastAsia="Verdana" w:cs="Verdana"/>
                <w:sz w:val="20"/>
              </w:rPr>
            </w:pPr>
            <w:r w:rsidRPr="004A7A05">
              <w:rPr>
                <w:rFonts w:eastAsia="Verdana" w:cs="Verdana"/>
                <w:sz w:val="20"/>
              </w:rPr>
              <w:t xml:space="preserve">Austrade will continue to increase awareness of the Kids for the Reef rebate program with schools and through industry channels such as the </w:t>
            </w:r>
            <w:hyperlink r:id="rId20">
              <w:r w:rsidRPr="004A7A05">
                <w:rPr>
                  <w:rStyle w:val="Hyperlink"/>
                  <w:rFonts w:eastAsia="Verdana" w:cs="Verdana"/>
                  <w:sz w:val="20"/>
                </w:rPr>
                <w:t>Teacher Magazine</w:t>
              </w:r>
            </w:hyperlink>
            <w:r w:rsidRPr="004A7A05">
              <w:rPr>
                <w:rFonts w:eastAsia="Verdana" w:cs="Verdana"/>
                <w:sz w:val="20"/>
              </w:rPr>
              <w:t xml:space="preserve"> article released on 21 September 2026.</w:t>
            </w:r>
          </w:p>
        </w:tc>
        <w:tc>
          <w:tcPr>
            <w:tcW w:w="556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BB1719" w14:textId="4656CBA0" w:rsidR="0015490A" w:rsidRPr="00726FB4" w:rsidRDefault="0015490A" w:rsidP="0062551B">
            <w:pPr>
              <w:spacing w:before="60" w:after="60" w:line="240" w:lineRule="auto"/>
              <w:rPr>
                <w:rFonts w:eastAsia="Verdana" w:cs="Verdana"/>
                <w:sz w:val="20"/>
              </w:rPr>
            </w:pPr>
            <w:r w:rsidRPr="00C114C8">
              <w:rPr>
                <w:rFonts w:eastAsia="Verdana" w:cs="Verdana"/>
                <w:sz w:val="20"/>
              </w:rPr>
              <w:lastRenderedPageBreak/>
              <w:t>Future communications</w:t>
            </w:r>
            <w:r>
              <w:rPr>
                <w:rFonts w:eastAsia="Verdana" w:cs="Verdana"/>
                <w:sz w:val="20"/>
              </w:rPr>
              <w:t xml:space="preserve"> </w:t>
            </w:r>
            <w:r w:rsidRPr="004A7A05">
              <w:rPr>
                <w:rFonts w:eastAsia="Verdana" w:cs="Verdana"/>
                <w:sz w:val="20"/>
              </w:rPr>
              <w:t>to increase awareness of the Kids for the Reef rebate program</w:t>
            </w:r>
            <w:r w:rsidRPr="00C114C8">
              <w:rPr>
                <w:rFonts w:eastAsia="Verdana" w:cs="Verdana"/>
                <w:sz w:val="20"/>
              </w:rPr>
              <w:t xml:space="preserve"> are being planned through to early 2027</w:t>
            </w:r>
            <w:r>
              <w:rPr>
                <w:rFonts w:eastAsia="Verdana" w:cs="Verdana"/>
                <w:sz w:val="20"/>
              </w:rPr>
              <w:t>.</w:t>
            </w:r>
          </w:p>
          <w:p w14:paraId="5603A125" w14:textId="03D0D188" w:rsidR="0015490A" w:rsidRPr="00726FB4" w:rsidRDefault="0015490A" w:rsidP="001D3623">
            <w:pPr>
              <w:spacing w:before="60" w:after="60" w:line="240" w:lineRule="auto"/>
              <w:rPr>
                <w:rFonts w:eastAsia="Verdana" w:cs="Verdana"/>
                <w:sz w:val="20"/>
              </w:rPr>
            </w:pPr>
            <w:r>
              <w:rPr>
                <w:rFonts w:eastAsia="Verdana" w:cs="Verdana"/>
                <w:sz w:val="20"/>
              </w:rPr>
              <w:t xml:space="preserve">Next steps for </w:t>
            </w:r>
            <w:r w:rsidRPr="006B42E9">
              <w:rPr>
                <w:rFonts w:eastAsia="Verdana" w:cs="Verdana"/>
                <w:sz w:val="20"/>
              </w:rPr>
              <w:t xml:space="preserve">Tourism </w:t>
            </w:r>
            <w:r>
              <w:rPr>
                <w:rFonts w:eastAsia="Verdana" w:cs="Verdana"/>
                <w:sz w:val="20"/>
              </w:rPr>
              <w:t xml:space="preserve">Central Australia </w:t>
            </w:r>
            <w:r w:rsidRPr="006B42E9">
              <w:rPr>
                <w:rFonts w:eastAsia="Verdana" w:cs="Verdana"/>
                <w:sz w:val="20"/>
              </w:rPr>
              <w:t>under the $5 million marketing boost</w:t>
            </w:r>
            <w:r>
              <w:rPr>
                <w:rFonts w:eastAsia="Verdana" w:cs="Verdana"/>
                <w:sz w:val="20"/>
              </w:rPr>
              <w:t xml:space="preserve"> </w:t>
            </w:r>
            <w:proofErr w:type="gramStart"/>
            <w:r>
              <w:rPr>
                <w:rFonts w:eastAsia="Verdana" w:cs="Verdana"/>
                <w:sz w:val="20"/>
              </w:rPr>
              <w:t>is</w:t>
            </w:r>
            <w:proofErr w:type="gramEnd"/>
            <w:r>
              <w:rPr>
                <w:rFonts w:eastAsia="Verdana" w:cs="Verdana"/>
                <w:sz w:val="20"/>
              </w:rPr>
              <w:t xml:space="preserve"> the release of a new consumer facing website </w:t>
            </w:r>
            <w:r w:rsidRPr="006B42E9">
              <w:rPr>
                <w:rFonts w:eastAsia="Verdana" w:cs="Verdana"/>
                <w:sz w:val="20"/>
              </w:rPr>
              <w:t xml:space="preserve">promoting </w:t>
            </w:r>
            <w:r>
              <w:rPr>
                <w:rFonts w:eastAsia="Verdana" w:cs="Verdana"/>
                <w:sz w:val="20"/>
              </w:rPr>
              <w:t xml:space="preserve">the </w:t>
            </w:r>
            <w:r w:rsidRPr="006B42E9">
              <w:rPr>
                <w:rFonts w:eastAsia="Verdana" w:cs="Verdana"/>
                <w:sz w:val="20"/>
              </w:rPr>
              <w:t>region.</w:t>
            </w:r>
            <w:r>
              <w:rPr>
                <w:rFonts w:eastAsia="Verdana" w:cs="Verdana"/>
                <w:sz w:val="20"/>
              </w:rPr>
              <w:t xml:space="preserve"> This </w:t>
            </w:r>
            <w:r w:rsidRPr="006B42E9">
              <w:rPr>
                <w:rFonts w:eastAsia="Verdana" w:cs="Verdana"/>
                <w:sz w:val="20"/>
              </w:rPr>
              <w:t xml:space="preserve">is planned for </w:t>
            </w:r>
            <w:r>
              <w:rPr>
                <w:rFonts w:eastAsia="Verdana" w:cs="Verdana"/>
                <w:sz w:val="20"/>
              </w:rPr>
              <w:t>released by end December 2026.</w:t>
            </w:r>
          </w:p>
          <w:p w14:paraId="16561586" w14:textId="2D07571C" w:rsidR="0015490A" w:rsidRPr="006B6723" w:rsidRDefault="0015490A" w:rsidP="007F085A">
            <w:pPr>
              <w:spacing w:before="60" w:after="60" w:line="240" w:lineRule="auto"/>
              <w:rPr>
                <w:rFonts w:eastAsia="Verdana" w:cs="Verdana"/>
                <w:sz w:val="20"/>
              </w:rPr>
            </w:pPr>
          </w:p>
        </w:tc>
      </w:tr>
      <w:tr w:rsidR="0015490A" w:rsidRPr="006B6723" w14:paraId="5475365B" w14:textId="69669C84" w:rsidTr="0015490A">
        <w:trPr>
          <w:cnfStyle w:val="000000100000" w:firstRow="0" w:lastRow="0" w:firstColumn="0" w:lastColumn="0" w:oddVBand="0" w:evenVBand="0" w:oddHBand="1" w:evenHBand="0" w:firstRowFirstColumn="0" w:firstRowLastColumn="0" w:lastRowFirstColumn="0" w:lastRowLastColumn="0"/>
          <w:trHeight w:val="552"/>
        </w:trPr>
        <w:tc>
          <w:tcPr>
            <w:tcW w:w="971" w:type="dxa"/>
            <w:tcBorders>
              <w:top w:val="single" w:sz="6" w:space="0" w:color="auto"/>
              <w:left w:val="single" w:sz="6" w:space="0" w:color="auto"/>
              <w:bottom w:val="single" w:sz="6" w:space="0" w:color="auto"/>
              <w:right w:val="single" w:sz="6" w:space="0" w:color="auto"/>
            </w:tcBorders>
            <w:tcMar>
              <w:left w:w="105" w:type="dxa"/>
              <w:right w:w="105" w:type="dxa"/>
            </w:tcMar>
          </w:tcPr>
          <w:p w14:paraId="77E2F14F" w14:textId="2CDA97D3" w:rsidR="0015490A" w:rsidRPr="006B6723" w:rsidRDefault="0015490A" w:rsidP="00530A4C">
            <w:pPr>
              <w:spacing w:before="60" w:after="60" w:line="240" w:lineRule="auto"/>
              <w:jc w:val="center"/>
              <w:rPr>
                <w:rFonts w:eastAsia="Verdana" w:cs="Verdana"/>
                <w:color w:val="000000" w:themeColor="text1"/>
                <w:sz w:val="20"/>
              </w:rPr>
            </w:pPr>
            <w:r w:rsidRPr="006440CF">
              <w:rPr>
                <w:rFonts w:eastAsia="Verdana" w:cs="Verdana"/>
                <w:color w:val="000000" w:themeColor="text1"/>
                <w:sz w:val="20"/>
              </w:rPr>
              <w:t>2.2</w:t>
            </w:r>
          </w:p>
        </w:tc>
        <w:tc>
          <w:tcPr>
            <w:tcW w:w="5125" w:type="dxa"/>
            <w:tcBorders>
              <w:top w:val="single" w:sz="6" w:space="0" w:color="auto"/>
              <w:left w:val="single" w:sz="6" w:space="0" w:color="auto"/>
              <w:bottom w:val="single" w:sz="6" w:space="0" w:color="auto"/>
              <w:right w:val="single" w:sz="6" w:space="0" w:color="auto"/>
            </w:tcBorders>
            <w:tcMar>
              <w:left w:w="105" w:type="dxa"/>
              <w:right w:w="105" w:type="dxa"/>
            </w:tcMar>
          </w:tcPr>
          <w:p w14:paraId="585055E4" w14:textId="182E671F" w:rsidR="0015490A" w:rsidRPr="006B6723" w:rsidRDefault="0015490A" w:rsidP="00530A4C">
            <w:pPr>
              <w:spacing w:before="60" w:after="60" w:line="240" w:lineRule="auto"/>
              <w:rPr>
                <w:rStyle w:val="normaltextrun"/>
                <w:rFonts w:eastAsia="Verdana" w:cs="Verdana"/>
                <w:sz w:val="20"/>
                <w:szCs w:val="20"/>
              </w:rPr>
            </w:pPr>
            <w:r w:rsidRPr="006B6723">
              <w:rPr>
                <w:sz w:val="20"/>
              </w:rPr>
              <w:t>Leveraging the power of events visitation and cultural tourism, through: the Revive Live and Festivals Australia programs; business events including those supported by Tourism Australia’s Business Events Bid Fund; and sporting events with the Green and Gold Decade in the lead up to the Brisbane 2032 Olympic and Paralympic Games, to improve awareness of the diverse opportunities Australia has to offer and encourage greater dispersal, including to regional destinations.</w:t>
            </w:r>
          </w:p>
        </w:tc>
        <w:tc>
          <w:tcPr>
            <w:tcW w:w="1984" w:type="dxa"/>
            <w:tcBorders>
              <w:top w:val="single" w:sz="6" w:space="0" w:color="auto"/>
              <w:left w:val="single" w:sz="6" w:space="0" w:color="auto"/>
              <w:bottom w:val="single" w:sz="6" w:space="0" w:color="auto"/>
              <w:right w:val="single" w:sz="6" w:space="0" w:color="auto"/>
            </w:tcBorders>
            <w:tcMar>
              <w:left w:w="105" w:type="dxa"/>
              <w:right w:w="105" w:type="dxa"/>
            </w:tcMar>
          </w:tcPr>
          <w:p w14:paraId="1CFBDEC7" w14:textId="5C805C6D" w:rsidR="0015490A" w:rsidRPr="006B6723" w:rsidRDefault="0015490A" w:rsidP="00530A4C">
            <w:pPr>
              <w:spacing w:before="60" w:after="60" w:line="240" w:lineRule="auto"/>
              <w:rPr>
                <w:sz w:val="20"/>
              </w:rPr>
            </w:pPr>
            <w:r w:rsidRPr="006B6723">
              <w:rPr>
                <w:sz w:val="20"/>
              </w:rPr>
              <w:t xml:space="preserve">Department of Infrastructure, Transport, Regional Development, Communications, Sport and the Arts (DITRDCSA), </w:t>
            </w:r>
            <w:r w:rsidRPr="006B6723">
              <w:rPr>
                <w:i/>
                <w:iCs/>
                <w:sz w:val="20"/>
              </w:rPr>
              <w:t>(Tourism Australia)</w:t>
            </w:r>
          </w:p>
        </w:tc>
        <w:tc>
          <w:tcPr>
            <w:tcW w:w="5779" w:type="dxa"/>
            <w:tcBorders>
              <w:top w:val="single" w:sz="6" w:space="0" w:color="auto"/>
              <w:left w:val="single" w:sz="6" w:space="0" w:color="auto"/>
              <w:bottom w:val="single" w:sz="6" w:space="0" w:color="auto"/>
              <w:right w:val="single" w:sz="6" w:space="0" w:color="auto"/>
            </w:tcBorders>
          </w:tcPr>
          <w:p w14:paraId="554456BC" w14:textId="06671095" w:rsidR="0015490A" w:rsidRPr="00A37C7F" w:rsidRDefault="0015490A" w:rsidP="00A37C7F">
            <w:pPr>
              <w:spacing w:before="60" w:after="60" w:line="240" w:lineRule="auto"/>
              <w:rPr>
                <w:rFonts w:eastAsia="Verdana" w:cs="Verdana"/>
                <w:sz w:val="20"/>
              </w:rPr>
            </w:pPr>
            <w:r w:rsidRPr="00A37C7F">
              <w:rPr>
                <w:rFonts w:eastAsia="Verdana" w:cs="Verdana"/>
                <w:sz w:val="20"/>
              </w:rPr>
              <w:t>The Office for Sport continued to lead cross-government coordination to maximise tourism, trade, investment and regional development outcomes from the Brisbane 2032 Olympic and Paralympic Games and other major events across the Green and Gold Decade.</w:t>
            </w:r>
          </w:p>
          <w:p w14:paraId="39C0561F" w14:textId="7951B88C" w:rsidR="0015490A" w:rsidRPr="00A37C7F" w:rsidRDefault="0015490A" w:rsidP="00FA5617">
            <w:pPr>
              <w:pStyle w:val="ListParagraph"/>
              <w:numPr>
                <w:ilvl w:val="0"/>
                <w:numId w:val="13"/>
              </w:numPr>
              <w:spacing w:before="60" w:after="60" w:line="240" w:lineRule="auto"/>
              <w:rPr>
                <w:rFonts w:eastAsia="Verdana" w:cs="Verdana"/>
                <w:sz w:val="20"/>
              </w:rPr>
            </w:pPr>
            <w:r w:rsidRPr="00A37C7F">
              <w:rPr>
                <w:rFonts w:eastAsia="Verdana" w:cs="Verdana"/>
                <w:sz w:val="20"/>
              </w:rPr>
              <w:t>Planning and coordination continued for upcoming major events, including the Rugby League World Cup 2026, Men's Rugby World Cup 2027, Netball World Cup 2027 and Women's Softball World Championships 2027.</w:t>
            </w:r>
          </w:p>
          <w:p w14:paraId="67D8F345" w14:textId="5333EC7F" w:rsidR="0015490A" w:rsidRPr="00A37C7F" w:rsidRDefault="0015490A" w:rsidP="00FA5617">
            <w:pPr>
              <w:pStyle w:val="ListParagraph"/>
              <w:numPr>
                <w:ilvl w:val="0"/>
                <w:numId w:val="13"/>
              </w:numPr>
              <w:spacing w:before="60" w:after="60" w:line="240" w:lineRule="auto"/>
              <w:rPr>
                <w:rFonts w:eastAsia="Verdana" w:cs="Verdana"/>
                <w:sz w:val="20"/>
              </w:rPr>
            </w:pPr>
            <w:r w:rsidRPr="0055031A">
              <w:rPr>
                <w:rFonts w:eastAsia="Verdana" w:cs="Verdana"/>
                <w:sz w:val="20"/>
              </w:rPr>
              <w:t>The Australian Government secured R</w:t>
            </w:r>
            <w:r>
              <w:rPr>
                <w:rFonts w:eastAsia="Verdana" w:cs="Verdana"/>
                <w:sz w:val="20"/>
              </w:rPr>
              <w:t xml:space="preserve">ugby </w:t>
            </w:r>
            <w:r w:rsidRPr="0055031A">
              <w:rPr>
                <w:rFonts w:eastAsia="Verdana" w:cs="Verdana"/>
                <w:sz w:val="20"/>
              </w:rPr>
              <w:t>W</w:t>
            </w:r>
            <w:r>
              <w:rPr>
                <w:rFonts w:eastAsia="Verdana" w:cs="Verdana"/>
                <w:sz w:val="20"/>
              </w:rPr>
              <w:t xml:space="preserve">orld </w:t>
            </w:r>
            <w:r w:rsidRPr="0055031A">
              <w:rPr>
                <w:rFonts w:eastAsia="Verdana" w:cs="Verdana"/>
                <w:sz w:val="20"/>
              </w:rPr>
              <w:t>C</w:t>
            </w:r>
            <w:r>
              <w:rPr>
                <w:rFonts w:eastAsia="Verdana" w:cs="Verdana"/>
                <w:sz w:val="20"/>
              </w:rPr>
              <w:t>up 20</w:t>
            </w:r>
            <w:r w:rsidRPr="0055031A">
              <w:rPr>
                <w:rFonts w:eastAsia="Verdana" w:cs="Verdana"/>
                <w:sz w:val="20"/>
              </w:rPr>
              <w:t>27 event access, with allocations being considered strategically to support government objectives including trade and investment, tourism, diplomacy and stakeholder engagement.</w:t>
            </w:r>
          </w:p>
          <w:p w14:paraId="22B4A55A" w14:textId="6321CE98" w:rsidR="0015490A" w:rsidRPr="00A37C7F" w:rsidRDefault="0015490A" w:rsidP="00FA5617">
            <w:pPr>
              <w:pStyle w:val="ListParagraph"/>
              <w:numPr>
                <w:ilvl w:val="0"/>
                <w:numId w:val="13"/>
              </w:numPr>
              <w:spacing w:before="60" w:after="60" w:line="240" w:lineRule="auto"/>
              <w:rPr>
                <w:rFonts w:eastAsia="Verdana" w:cs="Verdana"/>
                <w:sz w:val="20"/>
              </w:rPr>
            </w:pPr>
            <w:r w:rsidRPr="00A37C7F">
              <w:rPr>
                <w:rFonts w:eastAsia="Verdana" w:cs="Verdana"/>
                <w:sz w:val="20"/>
              </w:rPr>
              <w:t>Post-event evaluation of the AFC Women's Asian Cup 2026 commenced, following Australian Government funding and operational support, with findings expected to provide insights into tourism outcomes.</w:t>
            </w:r>
          </w:p>
          <w:p w14:paraId="5C710FDD" w14:textId="7EA22F7D" w:rsidR="0015490A" w:rsidRPr="00A37C7F" w:rsidRDefault="0015490A" w:rsidP="00A37C7F">
            <w:pPr>
              <w:spacing w:before="60" w:after="60" w:line="240" w:lineRule="auto"/>
              <w:rPr>
                <w:rFonts w:eastAsia="Verdana" w:cs="Verdana"/>
                <w:sz w:val="20"/>
              </w:rPr>
            </w:pPr>
            <w:r w:rsidRPr="00A37C7F">
              <w:rPr>
                <w:rFonts w:eastAsia="Verdana" w:cs="Verdana"/>
                <w:sz w:val="20"/>
              </w:rPr>
              <w:t>Tourism Australia leveraged Victoria's hosting of the NFL game in Melbourne through targeted marketing and influencer partnerships in the United States to promote Australian travel experiences.</w:t>
            </w:r>
          </w:p>
          <w:p w14:paraId="0738291E" w14:textId="05ECAB19" w:rsidR="0015490A" w:rsidRPr="00A37C7F" w:rsidRDefault="0015490A" w:rsidP="00A37C7F">
            <w:pPr>
              <w:spacing w:before="60" w:after="60" w:line="240" w:lineRule="auto"/>
              <w:rPr>
                <w:rFonts w:eastAsia="Verdana" w:cs="Verdana"/>
                <w:sz w:val="20"/>
              </w:rPr>
            </w:pPr>
            <w:r w:rsidRPr="00A37C7F">
              <w:rPr>
                <w:rFonts w:eastAsia="Verdana" w:cs="Verdana"/>
                <w:sz w:val="20"/>
              </w:rPr>
              <w:t xml:space="preserve">The Office for the Arts continued to support visitation through festivals and live music initiatives, including </w:t>
            </w:r>
            <w:hyperlink r:id="rId21" w:history="1">
              <w:r w:rsidRPr="00D06782">
                <w:rPr>
                  <w:rStyle w:val="Hyperlink"/>
                  <w:rFonts w:eastAsia="Verdana" w:cs="Verdana"/>
                  <w:sz w:val="20"/>
                </w:rPr>
                <w:t>Festivals Australia</w:t>
              </w:r>
            </w:hyperlink>
            <w:r w:rsidRPr="00A37C7F">
              <w:rPr>
                <w:rFonts w:eastAsia="Verdana" w:cs="Verdana"/>
                <w:sz w:val="20"/>
              </w:rPr>
              <w:t xml:space="preserve"> and </w:t>
            </w:r>
            <w:hyperlink r:id="rId22" w:history="1">
              <w:r w:rsidRPr="009C3376">
                <w:rPr>
                  <w:rStyle w:val="Hyperlink"/>
                  <w:rFonts w:eastAsia="Verdana" w:cs="Verdana"/>
                  <w:sz w:val="20"/>
                </w:rPr>
                <w:t>Revive Live program</w:t>
              </w:r>
            </w:hyperlink>
            <w:r w:rsidRPr="00A37C7F">
              <w:rPr>
                <w:rFonts w:eastAsia="Verdana" w:cs="Verdana"/>
                <w:sz w:val="20"/>
              </w:rPr>
              <w:t>, which has provided $19.3 million to support 221 live music businesses.</w:t>
            </w:r>
          </w:p>
          <w:p w14:paraId="365FECD5" w14:textId="68B6F35D" w:rsidR="0015490A" w:rsidRPr="00A37C7F" w:rsidRDefault="0015490A" w:rsidP="00A37C7F">
            <w:pPr>
              <w:spacing w:before="60" w:after="60" w:line="240" w:lineRule="auto"/>
              <w:rPr>
                <w:rFonts w:eastAsia="Verdana" w:cs="Verdana"/>
                <w:sz w:val="20"/>
              </w:rPr>
            </w:pPr>
            <w:r w:rsidRPr="00A37C7F">
              <w:rPr>
                <w:rFonts w:eastAsia="Verdana" w:cs="Verdana"/>
                <w:sz w:val="20"/>
              </w:rPr>
              <w:t>Tourism Australia continued to support regional dispersal through initiatives such as the "Regional Spotlight" feature in its Hot List publications.</w:t>
            </w:r>
          </w:p>
          <w:p w14:paraId="20721132" w14:textId="48E655F4" w:rsidR="0015490A" w:rsidRPr="00A37C7F" w:rsidRDefault="0015490A" w:rsidP="00530A4C">
            <w:pPr>
              <w:spacing w:before="60" w:after="60" w:line="240" w:lineRule="auto"/>
              <w:rPr>
                <w:rFonts w:eastAsia="Verdana" w:cs="Verdana"/>
                <w:sz w:val="20"/>
              </w:rPr>
            </w:pPr>
            <w:r w:rsidRPr="00A37C7F">
              <w:rPr>
                <w:rFonts w:eastAsia="Verdana" w:cs="Verdana"/>
                <w:sz w:val="20"/>
              </w:rPr>
              <w:t xml:space="preserve">June quarter 2026 </w:t>
            </w:r>
            <w:r w:rsidRPr="002A1494">
              <w:rPr>
                <w:rFonts w:eastAsia="Verdana" w:cs="Verdana"/>
                <w:sz w:val="20"/>
              </w:rPr>
              <w:t xml:space="preserve">International Visitor Survey </w:t>
            </w:r>
            <w:r w:rsidRPr="00A37C7F">
              <w:rPr>
                <w:rFonts w:eastAsia="Verdana" w:cs="Verdana"/>
                <w:sz w:val="20"/>
              </w:rPr>
              <w:t>data showed</w:t>
            </w:r>
            <w:r w:rsidRPr="002A1494">
              <w:rPr>
                <w:rFonts w:eastAsia="Verdana" w:cs="Verdana"/>
                <w:sz w:val="20"/>
              </w:rPr>
              <w:t xml:space="preserve"> 47 per cent of business events </w:t>
            </w:r>
            <w:r w:rsidRPr="00A37C7F">
              <w:rPr>
                <w:rFonts w:eastAsia="Verdana" w:cs="Verdana"/>
                <w:sz w:val="20"/>
              </w:rPr>
              <w:t>visitors travelled</w:t>
            </w:r>
            <w:r w:rsidRPr="002A1494">
              <w:rPr>
                <w:rFonts w:eastAsia="Verdana" w:cs="Verdana"/>
                <w:sz w:val="20"/>
              </w:rPr>
              <w:t xml:space="preserve"> overnight</w:t>
            </w:r>
            <w:r w:rsidRPr="00A37C7F">
              <w:rPr>
                <w:rFonts w:eastAsia="Verdana" w:cs="Verdana"/>
                <w:sz w:val="20"/>
              </w:rPr>
              <w:t xml:space="preserve"> outside their event destination, </w:t>
            </w:r>
            <w:r w:rsidRPr="002A1494">
              <w:rPr>
                <w:rFonts w:eastAsia="Verdana" w:cs="Verdana"/>
                <w:sz w:val="20"/>
              </w:rPr>
              <w:t xml:space="preserve">with 21 per cent of business events expenditure </w:t>
            </w:r>
            <w:r w:rsidRPr="00A37C7F">
              <w:rPr>
                <w:rFonts w:eastAsia="Verdana" w:cs="Verdana"/>
                <w:sz w:val="20"/>
              </w:rPr>
              <w:t>occurring</w:t>
            </w:r>
            <w:r w:rsidRPr="002A1494">
              <w:rPr>
                <w:rFonts w:eastAsia="Verdana" w:cs="Verdana"/>
                <w:sz w:val="20"/>
              </w:rPr>
              <w:t xml:space="preserve"> in regional </w:t>
            </w:r>
            <w:r w:rsidRPr="00A37C7F">
              <w:rPr>
                <w:rFonts w:eastAsia="Verdana" w:cs="Verdana"/>
                <w:sz w:val="20"/>
              </w:rPr>
              <w:t>areas</w:t>
            </w:r>
            <w:r w:rsidRPr="002A1494">
              <w:rPr>
                <w:rFonts w:eastAsia="Verdana" w:cs="Verdana"/>
                <w:sz w:val="20"/>
              </w:rPr>
              <w:t>.</w:t>
            </w:r>
          </w:p>
        </w:tc>
        <w:tc>
          <w:tcPr>
            <w:tcW w:w="5561" w:type="dxa"/>
            <w:tcBorders>
              <w:top w:val="single" w:sz="6" w:space="0" w:color="000000" w:themeColor="text1"/>
              <w:left w:val="single" w:sz="6" w:space="0" w:color="auto"/>
              <w:bottom w:val="single" w:sz="6" w:space="0" w:color="auto"/>
              <w:right w:val="single" w:sz="6" w:space="0" w:color="auto"/>
            </w:tcBorders>
          </w:tcPr>
          <w:p w14:paraId="6FFAA79D" w14:textId="50AEC04D" w:rsidR="0015490A" w:rsidRPr="00B02932" w:rsidRDefault="0015490A" w:rsidP="00D63E6D">
            <w:pPr>
              <w:spacing w:before="60" w:after="60" w:line="240" w:lineRule="auto"/>
              <w:rPr>
                <w:rFonts w:eastAsia="Verdana" w:cs="Verdana"/>
                <w:sz w:val="20"/>
              </w:rPr>
            </w:pPr>
            <w:r w:rsidRPr="006B6723">
              <w:rPr>
                <w:rFonts w:eastAsia="Verdana" w:cs="Verdana"/>
                <w:sz w:val="20"/>
              </w:rPr>
              <w:t xml:space="preserve">The Office for Sport will continue </w:t>
            </w:r>
            <w:r>
              <w:rPr>
                <w:rFonts w:eastAsia="Verdana" w:cs="Verdana"/>
                <w:sz w:val="20"/>
              </w:rPr>
              <w:t xml:space="preserve">to work in consultation with Australian Government agencies on the approach to </w:t>
            </w:r>
            <w:r w:rsidRPr="006B6723">
              <w:rPr>
                <w:rFonts w:eastAsia="Verdana" w:cs="Verdana"/>
                <w:sz w:val="20"/>
              </w:rPr>
              <w:t xml:space="preserve">leveraging </w:t>
            </w:r>
            <w:r>
              <w:rPr>
                <w:rFonts w:eastAsia="Verdana" w:cs="Verdana"/>
                <w:sz w:val="20"/>
              </w:rPr>
              <w:t xml:space="preserve">the significant </w:t>
            </w:r>
            <w:r w:rsidRPr="006B6723">
              <w:rPr>
                <w:rFonts w:eastAsia="Verdana" w:cs="Verdana"/>
                <w:sz w:val="20"/>
              </w:rPr>
              <w:t>investment in</w:t>
            </w:r>
            <w:r>
              <w:rPr>
                <w:rFonts w:eastAsia="Verdana" w:cs="Verdana"/>
                <w:sz w:val="20"/>
              </w:rPr>
              <w:t xml:space="preserve"> </w:t>
            </w:r>
            <w:r w:rsidRPr="006B6723">
              <w:rPr>
                <w:rFonts w:eastAsia="Verdana" w:cs="Verdana"/>
                <w:sz w:val="20"/>
              </w:rPr>
              <w:t>the Brisbane 2032 Games</w:t>
            </w:r>
            <w:r>
              <w:rPr>
                <w:rFonts w:eastAsia="Verdana" w:cs="Verdana"/>
                <w:sz w:val="20"/>
              </w:rPr>
              <w:t xml:space="preserve">, to achieve outcomes for Australians across three priority areas – noting </w:t>
            </w:r>
            <w:r w:rsidRPr="00B02932">
              <w:rPr>
                <w:rFonts w:eastAsia="Verdana" w:cs="Verdana"/>
                <w:sz w:val="20"/>
              </w:rPr>
              <w:t>inclusion, First Nations and sport diplomacy are themes cutting across all three areas:</w:t>
            </w:r>
          </w:p>
          <w:p w14:paraId="7DFD3827" w14:textId="77777777" w:rsidR="0015490A" w:rsidRPr="00B02932" w:rsidRDefault="0015490A" w:rsidP="00FA5617">
            <w:pPr>
              <w:numPr>
                <w:ilvl w:val="0"/>
                <w:numId w:val="9"/>
              </w:numPr>
              <w:spacing w:before="60" w:after="60" w:line="240" w:lineRule="auto"/>
              <w:rPr>
                <w:rFonts w:eastAsia="Verdana" w:cs="Verdana"/>
                <w:sz w:val="20"/>
                <w:szCs w:val="22"/>
              </w:rPr>
            </w:pPr>
            <w:r w:rsidRPr="00B02932">
              <w:rPr>
                <w:rFonts w:eastAsia="Verdana" w:cs="Verdana"/>
                <w:sz w:val="20"/>
                <w:szCs w:val="22"/>
              </w:rPr>
              <w:t>Social cohesion and connected communities</w:t>
            </w:r>
          </w:p>
          <w:p w14:paraId="766035C3" w14:textId="77777777" w:rsidR="0015490A" w:rsidRPr="00B02932" w:rsidRDefault="0015490A" w:rsidP="00FA5617">
            <w:pPr>
              <w:numPr>
                <w:ilvl w:val="0"/>
                <w:numId w:val="9"/>
              </w:numPr>
              <w:spacing w:before="60" w:after="60" w:line="240" w:lineRule="auto"/>
              <w:rPr>
                <w:rFonts w:eastAsia="Verdana" w:cs="Verdana"/>
                <w:sz w:val="20"/>
                <w:szCs w:val="22"/>
              </w:rPr>
            </w:pPr>
            <w:r w:rsidRPr="00B02932">
              <w:rPr>
                <w:rFonts w:eastAsia="Verdana" w:cs="Verdana"/>
                <w:sz w:val="20"/>
                <w:szCs w:val="22"/>
              </w:rPr>
              <w:t>Better health and wellbeing for every Australian</w:t>
            </w:r>
          </w:p>
          <w:p w14:paraId="63FB74F2" w14:textId="77777777" w:rsidR="0015490A" w:rsidRPr="00B02932" w:rsidRDefault="0015490A" w:rsidP="00FA5617">
            <w:pPr>
              <w:numPr>
                <w:ilvl w:val="0"/>
                <w:numId w:val="9"/>
              </w:numPr>
              <w:spacing w:before="60" w:after="60" w:line="240" w:lineRule="auto"/>
              <w:rPr>
                <w:rFonts w:eastAsia="Verdana" w:cs="Verdana"/>
                <w:sz w:val="20"/>
                <w:szCs w:val="22"/>
              </w:rPr>
            </w:pPr>
            <w:r w:rsidRPr="00B02932">
              <w:rPr>
                <w:rFonts w:eastAsia="Verdana" w:cs="Verdana"/>
                <w:sz w:val="20"/>
                <w:szCs w:val="22"/>
              </w:rPr>
              <w:t>A vibrant, sustainable and internationally connected economy</w:t>
            </w:r>
          </w:p>
          <w:p w14:paraId="5A3646FB" w14:textId="5B4989AD" w:rsidR="0015490A" w:rsidRPr="00404D63" w:rsidRDefault="0015490A" w:rsidP="00404D63">
            <w:pPr>
              <w:spacing w:before="60" w:after="60" w:line="240" w:lineRule="auto"/>
              <w:rPr>
                <w:rFonts w:eastAsia="Verdana" w:cs="Verdana"/>
                <w:sz w:val="20"/>
              </w:rPr>
            </w:pPr>
            <w:r w:rsidRPr="003D4C60">
              <w:rPr>
                <w:rFonts w:eastAsia="Verdana" w:cs="Verdana"/>
                <w:sz w:val="20"/>
              </w:rPr>
              <w:t xml:space="preserve">The Australian Government’s $12.4 million investment in </w:t>
            </w:r>
            <w:r>
              <w:rPr>
                <w:rFonts w:eastAsia="Verdana" w:cs="Verdana"/>
                <w:sz w:val="20"/>
              </w:rPr>
              <w:t xml:space="preserve">the </w:t>
            </w:r>
            <w:r w:rsidRPr="003D4C60">
              <w:rPr>
                <w:rFonts w:eastAsia="Verdana" w:cs="Verdana"/>
                <w:sz w:val="20"/>
              </w:rPr>
              <w:t>R</w:t>
            </w:r>
            <w:r>
              <w:rPr>
                <w:rFonts w:eastAsia="Verdana" w:cs="Verdana"/>
                <w:sz w:val="20"/>
              </w:rPr>
              <w:t xml:space="preserve">ugby </w:t>
            </w:r>
            <w:r w:rsidRPr="003D4C60">
              <w:rPr>
                <w:rFonts w:eastAsia="Verdana" w:cs="Verdana"/>
                <w:sz w:val="20"/>
              </w:rPr>
              <w:t>L</w:t>
            </w:r>
            <w:r>
              <w:rPr>
                <w:rFonts w:eastAsia="Verdana" w:cs="Verdana"/>
                <w:sz w:val="20"/>
              </w:rPr>
              <w:t xml:space="preserve">eague </w:t>
            </w:r>
            <w:r w:rsidRPr="003D4C60">
              <w:rPr>
                <w:rFonts w:eastAsia="Verdana" w:cs="Verdana"/>
                <w:sz w:val="20"/>
              </w:rPr>
              <w:t>W</w:t>
            </w:r>
            <w:r>
              <w:rPr>
                <w:rFonts w:eastAsia="Verdana" w:cs="Verdana"/>
                <w:sz w:val="20"/>
              </w:rPr>
              <w:t xml:space="preserve">orld </w:t>
            </w:r>
            <w:r w:rsidRPr="003D4C60">
              <w:rPr>
                <w:rFonts w:eastAsia="Verdana" w:cs="Verdana"/>
                <w:sz w:val="20"/>
              </w:rPr>
              <w:t>C</w:t>
            </w:r>
            <w:r>
              <w:rPr>
                <w:rFonts w:eastAsia="Verdana" w:cs="Verdana"/>
                <w:sz w:val="20"/>
              </w:rPr>
              <w:t>up</w:t>
            </w:r>
            <w:r w:rsidRPr="003D4C60">
              <w:rPr>
                <w:rFonts w:eastAsia="Verdana" w:cs="Verdana"/>
                <w:sz w:val="20"/>
              </w:rPr>
              <w:t xml:space="preserve"> 2026 supports three tournaments (Women's, Wheelchair and Men's).</w:t>
            </w:r>
            <w:r>
              <w:rPr>
                <w:rFonts w:eastAsia="Verdana" w:cs="Verdana"/>
                <w:sz w:val="20"/>
              </w:rPr>
              <w:t xml:space="preserve"> The opening match is on 15 October, with matches through to 15 November. </w:t>
            </w:r>
            <w:r w:rsidRPr="00404D63">
              <w:rPr>
                <w:rFonts w:eastAsia="Verdana" w:cs="Verdana"/>
                <w:sz w:val="20"/>
              </w:rPr>
              <w:t>Alongside supporting event delivery, whole-of-government coordination is being used to create broader value, including:</w:t>
            </w:r>
          </w:p>
          <w:p w14:paraId="6F4DE1B9" w14:textId="1CA25B61" w:rsidR="0015490A" w:rsidRPr="00404D63" w:rsidRDefault="0015490A" w:rsidP="00404D63">
            <w:pPr>
              <w:numPr>
                <w:ilvl w:val="0"/>
                <w:numId w:val="23"/>
              </w:numPr>
              <w:spacing w:before="60" w:after="60" w:line="240" w:lineRule="auto"/>
              <w:rPr>
                <w:rFonts w:eastAsia="Verdana" w:cs="Verdana"/>
                <w:sz w:val="20"/>
              </w:rPr>
            </w:pPr>
            <w:r w:rsidRPr="00404D63">
              <w:rPr>
                <w:rFonts w:eastAsia="Verdana" w:cs="Verdana"/>
                <w:sz w:val="20"/>
              </w:rPr>
              <w:t>Australia’s Nation Brand displayed on venue media walls across Australian and P</w:t>
            </w:r>
            <w:r>
              <w:rPr>
                <w:rFonts w:eastAsia="Verdana" w:cs="Verdana"/>
                <w:sz w:val="20"/>
              </w:rPr>
              <w:t xml:space="preserve">apua </w:t>
            </w:r>
            <w:r w:rsidRPr="00404D63">
              <w:rPr>
                <w:rFonts w:eastAsia="Verdana" w:cs="Verdana"/>
                <w:sz w:val="20"/>
              </w:rPr>
              <w:t>N</w:t>
            </w:r>
            <w:r>
              <w:rPr>
                <w:rFonts w:eastAsia="Verdana" w:cs="Verdana"/>
                <w:sz w:val="20"/>
              </w:rPr>
              <w:t xml:space="preserve">ew </w:t>
            </w:r>
            <w:r w:rsidRPr="00404D63">
              <w:rPr>
                <w:rFonts w:eastAsia="Verdana" w:cs="Verdana"/>
                <w:sz w:val="20"/>
              </w:rPr>
              <w:t>G</w:t>
            </w:r>
            <w:r>
              <w:rPr>
                <w:rFonts w:eastAsia="Verdana" w:cs="Verdana"/>
                <w:sz w:val="20"/>
              </w:rPr>
              <w:t>uinea</w:t>
            </w:r>
            <w:r w:rsidRPr="00404D63">
              <w:rPr>
                <w:rFonts w:eastAsia="Verdana" w:cs="Verdana"/>
                <w:sz w:val="20"/>
              </w:rPr>
              <w:t>-hosted matches, including for television interviews, media conferences and VIP engagements.</w:t>
            </w:r>
          </w:p>
          <w:p w14:paraId="05DE7AEB" w14:textId="77777777" w:rsidR="0015490A" w:rsidRPr="00404D63" w:rsidRDefault="0015490A" w:rsidP="00404D63">
            <w:pPr>
              <w:numPr>
                <w:ilvl w:val="0"/>
                <w:numId w:val="23"/>
              </w:numPr>
              <w:spacing w:before="60" w:after="60" w:line="240" w:lineRule="auto"/>
              <w:rPr>
                <w:rFonts w:eastAsia="Verdana" w:cs="Verdana"/>
                <w:sz w:val="20"/>
              </w:rPr>
            </w:pPr>
            <w:r w:rsidRPr="00404D63">
              <w:rPr>
                <w:rFonts w:eastAsia="Verdana" w:cs="Verdana"/>
                <w:sz w:val="20"/>
              </w:rPr>
              <w:t>Local Indigenous languages incorporated into event signage, including venue LED screens.</w:t>
            </w:r>
          </w:p>
          <w:p w14:paraId="6F86A9DD" w14:textId="46EC10E2" w:rsidR="0015490A" w:rsidRDefault="0015490A" w:rsidP="00404D63">
            <w:pPr>
              <w:numPr>
                <w:ilvl w:val="0"/>
                <w:numId w:val="23"/>
              </w:numPr>
              <w:spacing w:before="60" w:after="60" w:line="240" w:lineRule="auto"/>
              <w:rPr>
                <w:rFonts w:eastAsia="Verdana" w:cs="Verdana"/>
                <w:sz w:val="20"/>
              </w:rPr>
            </w:pPr>
            <w:r w:rsidRPr="00404D63">
              <w:rPr>
                <w:rFonts w:eastAsia="Verdana" w:cs="Verdana"/>
                <w:sz w:val="20"/>
              </w:rPr>
              <w:t>Australian, Aboriginal and Torres Strait Islander flags displayed at stadiums and on venue screens</w:t>
            </w:r>
            <w:r>
              <w:rPr>
                <w:rFonts w:eastAsia="Verdana" w:cs="Verdana"/>
                <w:sz w:val="20"/>
              </w:rPr>
              <w:t>.</w:t>
            </w:r>
          </w:p>
          <w:p w14:paraId="59AB88AC" w14:textId="455BD852" w:rsidR="0015490A" w:rsidRDefault="0015490A" w:rsidP="002A1494">
            <w:pPr>
              <w:spacing w:before="60" w:after="60" w:line="240" w:lineRule="auto"/>
              <w:rPr>
                <w:rFonts w:eastAsia="Verdana" w:cs="Verdana"/>
                <w:sz w:val="20"/>
              </w:rPr>
            </w:pPr>
            <w:r w:rsidRPr="006B6723">
              <w:rPr>
                <w:rFonts w:eastAsia="Verdana" w:cs="Verdana"/>
                <w:sz w:val="20"/>
              </w:rPr>
              <w:t xml:space="preserve">Tourism Australia will </w:t>
            </w:r>
            <w:r>
              <w:rPr>
                <w:rFonts w:eastAsia="Verdana" w:cs="Verdana"/>
                <w:sz w:val="20"/>
              </w:rPr>
              <w:t xml:space="preserve">continue to </w:t>
            </w:r>
            <w:r w:rsidRPr="006B6723">
              <w:rPr>
                <w:rFonts w:eastAsia="Verdana" w:cs="Verdana"/>
                <w:sz w:val="20"/>
              </w:rPr>
              <w:t>work closely with the Office for Sport in capitalising on the Olympic and Paralympic Games opportunity</w:t>
            </w:r>
            <w:r>
              <w:rPr>
                <w:rFonts w:eastAsia="Verdana" w:cs="Verdana"/>
                <w:sz w:val="20"/>
              </w:rPr>
              <w:t xml:space="preserve">.  </w:t>
            </w:r>
          </w:p>
          <w:p w14:paraId="49CB3750" w14:textId="0BACC20C" w:rsidR="0015490A" w:rsidRDefault="0015490A" w:rsidP="002249A9">
            <w:pPr>
              <w:spacing w:before="60" w:after="60" w:line="240" w:lineRule="auto"/>
              <w:rPr>
                <w:rFonts w:eastAsia="Verdana" w:cs="Verdana"/>
                <w:sz w:val="20"/>
              </w:rPr>
            </w:pPr>
            <w:r w:rsidRPr="008B7E0D">
              <w:rPr>
                <w:rFonts w:eastAsia="Verdana" w:cs="Verdana"/>
                <w:sz w:val="20"/>
              </w:rPr>
              <w:t xml:space="preserve">The Office for Sport will </w:t>
            </w:r>
            <w:r>
              <w:rPr>
                <w:rFonts w:eastAsia="Verdana" w:cs="Verdana"/>
                <w:sz w:val="20"/>
              </w:rPr>
              <w:t xml:space="preserve">also </w:t>
            </w:r>
            <w:r w:rsidRPr="008B7E0D">
              <w:rPr>
                <w:rFonts w:eastAsia="Verdana" w:cs="Verdana"/>
                <w:sz w:val="20"/>
              </w:rPr>
              <w:t xml:space="preserve">continue cross-government coordination </w:t>
            </w:r>
            <w:r>
              <w:rPr>
                <w:rFonts w:eastAsia="Verdana" w:cs="Verdana"/>
                <w:sz w:val="20"/>
              </w:rPr>
              <w:t xml:space="preserve">and support </w:t>
            </w:r>
            <w:r w:rsidRPr="008B7E0D">
              <w:rPr>
                <w:rFonts w:eastAsia="Verdana" w:cs="Verdana"/>
                <w:sz w:val="20"/>
              </w:rPr>
              <w:t xml:space="preserve">on leveraging opportunities associated with </w:t>
            </w:r>
            <w:r>
              <w:rPr>
                <w:rFonts w:eastAsia="Verdana" w:cs="Verdana"/>
                <w:sz w:val="20"/>
              </w:rPr>
              <w:t xml:space="preserve">other </w:t>
            </w:r>
            <w:r w:rsidRPr="008B7E0D">
              <w:rPr>
                <w:rFonts w:eastAsia="Verdana" w:cs="Verdana"/>
                <w:sz w:val="20"/>
              </w:rPr>
              <w:t>major sporting events</w:t>
            </w:r>
            <w:r>
              <w:rPr>
                <w:rFonts w:eastAsia="Verdana" w:cs="Verdana"/>
                <w:sz w:val="20"/>
              </w:rPr>
              <w:t>.</w:t>
            </w:r>
          </w:p>
          <w:p w14:paraId="719C3DA3" w14:textId="224717B4" w:rsidR="0015490A" w:rsidRPr="002249A9" w:rsidRDefault="0015490A" w:rsidP="002249A9">
            <w:pPr>
              <w:spacing w:before="60" w:after="60" w:line="240" w:lineRule="auto"/>
              <w:rPr>
                <w:rFonts w:eastAsia="Verdana" w:cs="Verdana"/>
                <w:sz w:val="20"/>
              </w:rPr>
            </w:pPr>
            <w:r w:rsidRPr="002249A9">
              <w:rPr>
                <w:rFonts w:eastAsia="Verdana" w:cs="Verdana"/>
                <w:sz w:val="20"/>
              </w:rPr>
              <w:lastRenderedPageBreak/>
              <w:t>Successful applicants from Round 23 of Festivals Australia are expected to be announced in mid-December 2026. Round 24 is expected to open for applications in February 2027.</w:t>
            </w:r>
          </w:p>
          <w:p w14:paraId="6EAD3678" w14:textId="77777777" w:rsidR="0015490A" w:rsidRPr="002A1494" w:rsidRDefault="0015490A" w:rsidP="002A1494">
            <w:pPr>
              <w:spacing w:before="60" w:after="60" w:line="240" w:lineRule="auto"/>
              <w:rPr>
                <w:rFonts w:eastAsia="Verdana" w:cs="Verdana"/>
                <w:sz w:val="20"/>
              </w:rPr>
            </w:pPr>
            <w:r w:rsidRPr="002249A9">
              <w:rPr>
                <w:rFonts w:eastAsia="Verdana" w:cs="Verdana"/>
                <w:sz w:val="20"/>
              </w:rPr>
              <w:t xml:space="preserve">Successful applicants from </w:t>
            </w:r>
            <w:r w:rsidRPr="00862F0E">
              <w:rPr>
                <w:rFonts w:eastAsia="Verdana" w:cs="Verdana"/>
                <w:sz w:val="20"/>
              </w:rPr>
              <w:t>Revive Live Round 3 are expected to be announced in early to mid-November 2026.</w:t>
            </w:r>
            <w:r w:rsidRPr="002A1494">
              <w:rPr>
                <w:rFonts w:eastAsia="Verdana" w:cs="Verdana"/>
                <w:sz w:val="20"/>
              </w:rPr>
              <w:t xml:space="preserve"> </w:t>
            </w:r>
          </w:p>
          <w:p w14:paraId="530A7D49" w14:textId="18A078DD" w:rsidR="0015490A" w:rsidRPr="002A1494" w:rsidRDefault="0015490A" w:rsidP="002A1494">
            <w:pPr>
              <w:spacing w:before="60" w:after="60" w:line="240" w:lineRule="auto"/>
              <w:rPr>
                <w:rFonts w:eastAsia="Verdana" w:cs="Verdana"/>
                <w:highlight w:val="yellow"/>
              </w:rPr>
            </w:pPr>
            <w:r>
              <w:rPr>
                <w:rFonts w:eastAsia="Verdana" w:cs="Verdana"/>
                <w:sz w:val="20"/>
              </w:rPr>
              <w:t>400</w:t>
            </w:r>
            <w:r w:rsidRPr="00AB0430">
              <w:rPr>
                <w:rFonts w:eastAsia="Verdana" w:cs="Verdana"/>
                <w:sz w:val="20"/>
              </w:rPr>
              <w:t xml:space="preserve"> Indian delegates will visit Melbourne in October 2026 </w:t>
            </w:r>
            <w:r w:rsidRPr="00F10136">
              <w:rPr>
                <w:rFonts w:eastAsia="Verdana" w:cs="Verdana"/>
                <w:sz w:val="20"/>
              </w:rPr>
              <w:t>with funding</w:t>
            </w:r>
            <w:r w:rsidRPr="00AB0430">
              <w:rPr>
                <w:rFonts w:eastAsia="Verdana" w:cs="Verdana"/>
                <w:sz w:val="20"/>
              </w:rPr>
              <w:t xml:space="preserve"> secured by Tourism Australia through the India subvention bid fund</w:t>
            </w:r>
            <w:r w:rsidRPr="00F10136">
              <w:rPr>
                <w:rFonts w:eastAsia="Verdana" w:cs="Verdana"/>
                <w:sz w:val="20"/>
              </w:rPr>
              <w:t xml:space="preserve"> </w:t>
            </w:r>
            <w:r w:rsidRPr="00F10136">
              <w:rPr>
                <w:sz w:val="20"/>
              </w:rPr>
              <w:t>supported through the Australia-India Trade and Investment Accelerator Fund</w:t>
            </w:r>
            <w:r>
              <w:rPr>
                <w:sz w:val="20"/>
              </w:rPr>
              <w:t>.</w:t>
            </w:r>
          </w:p>
        </w:tc>
      </w:tr>
      <w:tr w:rsidR="0015490A" w:rsidRPr="006B6723" w14:paraId="17769A51" w14:textId="6D7F5564" w:rsidTr="0015490A">
        <w:trPr>
          <w:trHeight w:val="532"/>
        </w:trPr>
        <w:tc>
          <w:tcPr>
            <w:tcW w:w="971" w:type="dxa"/>
            <w:tcBorders>
              <w:top w:val="single" w:sz="6" w:space="0" w:color="auto"/>
              <w:left w:val="single" w:sz="6" w:space="0" w:color="auto"/>
              <w:bottom w:val="single" w:sz="6" w:space="0" w:color="auto"/>
              <w:right w:val="single" w:sz="6" w:space="0" w:color="auto"/>
            </w:tcBorders>
            <w:tcMar>
              <w:left w:w="105" w:type="dxa"/>
              <w:right w:w="105" w:type="dxa"/>
            </w:tcMar>
          </w:tcPr>
          <w:p w14:paraId="16DF8C9F" w14:textId="11BC2AD9" w:rsidR="0015490A" w:rsidRPr="006B6723" w:rsidRDefault="0015490A" w:rsidP="00530A4C">
            <w:pPr>
              <w:spacing w:before="60" w:after="60" w:line="240" w:lineRule="auto"/>
              <w:jc w:val="center"/>
              <w:rPr>
                <w:rFonts w:eastAsia="Verdana" w:cs="Verdana"/>
                <w:color w:val="000000" w:themeColor="text1"/>
                <w:sz w:val="20"/>
              </w:rPr>
            </w:pPr>
            <w:r w:rsidRPr="000F6CAE">
              <w:rPr>
                <w:rStyle w:val="normaltextrun"/>
                <w:rFonts w:eastAsia="Verdana" w:cs="Verdana"/>
                <w:sz w:val="20"/>
                <w:szCs w:val="20"/>
              </w:rPr>
              <w:lastRenderedPageBreak/>
              <w:t>2.3</w:t>
            </w:r>
          </w:p>
        </w:tc>
        <w:tc>
          <w:tcPr>
            <w:tcW w:w="5125" w:type="dxa"/>
            <w:tcBorders>
              <w:top w:val="single" w:sz="6" w:space="0" w:color="auto"/>
              <w:left w:val="single" w:sz="6" w:space="0" w:color="auto"/>
              <w:bottom w:val="single" w:sz="6" w:space="0" w:color="auto"/>
              <w:right w:val="single" w:sz="6" w:space="0" w:color="auto"/>
            </w:tcBorders>
            <w:tcMar>
              <w:left w:w="105" w:type="dxa"/>
              <w:right w:w="105" w:type="dxa"/>
            </w:tcMar>
          </w:tcPr>
          <w:p w14:paraId="19226CFB" w14:textId="6A2FB183" w:rsidR="0015490A" w:rsidRPr="006B6723" w:rsidRDefault="0015490A" w:rsidP="00530A4C">
            <w:pPr>
              <w:spacing w:before="60" w:after="60" w:line="240" w:lineRule="auto"/>
              <w:rPr>
                <w:sz w:val="20"/>
              </w:rPr>
            </w:pPr>
            <w:r w:rsidRPr="006B6723">
              <w:rPr>
                <w:sz w:val="20"/>
              </w:rPr>
              <w:t>Preparing an analysis of factors underpinning greater domestic and international visitation to regional destinations</w:t>
            </w:r>
            <w:r>
              <w:rPr>
                <w:sz w:val="20"/>
              </w:rPr>
              <w:t>.</w:t>
            </w:r>
          </w:p>
        </w:tc>
        <w:tc>
          <w:tcPr>
            <w:tcW w:w="1984" w:type="dxa"/>
            <w:tcBorders>
              <w:top w:val="single" w:sz="6" w:space="0" w:color="auto"/>
              <w:left w:val="single" w:sz="6" w:space="0" w:color="auto"/>
              <w:bottom w:val="single" w:sz="6" w:space="0" w:color="auto"/>
              <w:right w:val="single" w:sz="6" w:space="0" w:color="auto"/>
            </w:tcBorders>
            <w:tcMar>
              <w:left w:w="105" w:type="dxa"/>
              <w:right w:w="105" w:type="dxa"/>
            </w:tcMar>
          </w:tcPr>
          <w:p w14:paraId="58BB9C05" w14:textId="2ADF5380" w:rsidR="0015490A" w:rsidRPr="006B6723" w:rsidRDefault="0015490A" w:rsidP="00530A4C">
            <w:pPr>
              <w:spacing w:before="60" w:after="60" w:line="240" w:lineRule="auto"/>
              <w:rPr>
                <w:sz w:val="20"/>
              </w:rPr>
            </w:pPr>
            <w:r w:rsidRPr="006B6723">
              <w:rPr>
                <w:sz w:val="20"/>
              </w:rPr>
              <w:t>Austrade, Tourism Australia</w:t>
            </w:r>
          </w:p>
        </w:tc>
        <w:tc>
          <w:tcPr>
            <w:tcW w:w="5779" w:type="dxa"/>
            <w:tcBorders>
              <w:top w:val="single" w:sz="6" w:space="0" w:color="auto"/>
              <w:left w:val="single" w:sz="6" w:space="0" w:color="auto"/>
              <w:bottom w:val="single" w:sz="6" w:space="0" w:color="auto"/>
              <w:right w:val="single" w:sz="6" w:space="0" w:color="auto"/>
            </w:tcBorders>
          </w:tcPr>
          <w:p w14:paraId="3636984C" w14:textId="110BC51E" w:rsidR="0015490A" w:rsidRDefault="0015490A" w:rsidP="00530A4C">
            <w:pPr>
              <w:spacing w:before="60" w:after="60" w:line="240" w:lineRule="auto"/>
              <w:rPr>
                <w:sz w:val="20"/>
              </w:rPr>
            </w:pPr>
            <w:r>
              <w:rPr>
                <w:sz w:val="20"/>
              </w:rPr>
              <w:t>Preparation</w:t>
            </w:r>
            <w:r w:rsidRPr="00562673">
              <w:rPr>
                <w:sz w:val="20"/>
              </w:rPr>
              <w:t xml:space="preserve"> of </w:t>
            </w:r>
            <w:r>
              <w:rPr>
                <w:sz w:val="20"/>
              </w:rPr>
              <w:t>r</w:t>
            </w:r>
            <w:r w:rsidRPr="00562673">
              <w:rPr>
                <w:sz w:val="20"/>
              </w:rPr>
              <w:t xml:space="preserve">esearch and analysis of </w:t>
            </w:r>
            <w:r>
              <w:rPr>
                <w:sz w:val="20"/>
              </w:rPr>
              <w:t xml:space="preserve">the </w:t>
            </w:r>
            <w:r w:rsidRPr="00562673">
              <w:rPr>
                <w:sz w:val="20"/>
              </w:rPr>
              <w:t xml:space="preserve">factors underpinning regional visitor dispersal </w:t>
            </w:r>
            <w:r>
              <w:rPr>
                <w:sz w:val="20"/>
              </w:rPr>
              <w:t>commenced</w:t>
            </w:r>
            <w:r w:rsidRPr="00562673">
              <w:rPr>
                <w:sz w:val="20"/>
              </w:rPr>
              <w:t>.</w:t>
            </w:r>
            <w:r>
              <w:rPr>
                <w:sz w:val="20"/>
              </w:rPr>
              <w:t xml:space="preserve"> </w:t>
            </w:r>
          </w:p>
          <w:p w14:paraId="713E2877" w14:textId="741F2CAB" w:rsidR="0015490A" w:rsidRPr="00A67330" w:rsidRDefault="0015490A" w:rsidP="00FA5617">
            <w:pPr>
              <w:pStyle w:val="ListParagraph"/>
              <w:numPr>
                <w:ilvl w:val="0"/>
                <w:numId w:val="13"/>
              </w:numPr>
              <w:spacing w:before="60" w:after="60" w:line="240" w:lineRule="auto"/>
              <w:rPr>
                <w:rFonts w:eastAsia="Verdana" w:cs="Verdana"/>
                <w:sz w:val="20"/>
              </w:rPr>
            </w:pPr>
            <w:r w:rsidRPr="00A67330">
              <w:rPr>
                <w:rFonts w:eastAsia="Verdana" w:cs="Verdana"/>
                <w:sz w:val="20"/>
              </w:rPr>
              <w:t xml:space="preserve">To inform this work, Austrade’s </w:t>
            </w:r>
            <w:r>
              <w:rPr>
                <w:rFonts w:eastAsia="Verdana" w:cs="Verdana"/>
                <w:sz w:val="20"/>
              </w:rPr>
              <w:t>OTVE</w:t>
            </w:r>
            <w:r w:rsidRPr="00A67330">
              <w:rPr>
                <w:rFonts w:eastAsia="Verdana" w:cs="Verdana"/>
                <w:sz w:val="20"/>
              </w:rPr>
              <w:t>, in collaboration with Tourism Australia, conducted consultations with eight Regional Development Authorities (RDAs) and nine Regional Tourism Organisations (RTOs) and is scheduling an Australian Regional Tourism local council network discussion.</w:t>
            </w:r>
          </w:p>
          <w:p w14:paraId="05688E28" w14:textId="263A77BC" w:rsidR="0015490A" w:rsidRPr="006B6723" w:rsidRDefault="0015490A" w:rsidP="00530A4C">
            <w:pPr>
              <w:spacing w:before="60" w:after="60" w:line="240" w:lineRule="auto"/>
              <w:rPr>
                <w:sz w:val="20"/>
              </w:rPr>
            </w:pPr>
            <w:r w:rsidRPr="006B6723">
              <w:rPr>
                <w:sz w:val="20"/>
              </w:rPr>
              <w:t>Tourism Australia’s Consumer Demand Project continue</w:t>
            </w:r>
            <w:r>
              <w:rPr>
                <w:sz w:val="20"/>
              </w:rPr>
              <w:t>d</w:t>
            </w:r>
            <w:r w:rsidRPr="006B6723">
              <w:rPr>
                <w:sz w:val="20"/>
              </w:rPr>
              <w:t xml:space="preserve"> to examine and report on factors that influence international travellers to visit regional destinations.</w:t>
            </w:r>
          </w:p>
        </w:tc>
        <w:tc>
          <w:tcPr>
            <w:tcW w:w="5561" w:type="dxa"/>
            <w:tcBorders>
              <w:top w:val="single" w:sz="6" w:space="0" w:color="auto"/>
              <w:left w:val="single" w:sz="6" w:space="0" w:color="auto"/>
              <w:bottom w:val="single" w:sz="6" w:space="0" w:color="auto"/>
              <w:right w:val="single" w:sz="6" w:space="0" w:color="auto"/>
            </w:tcBorders>
          </w:tcPr>
          <w:p w14:paraId="43B3B2CD" w14:textId="232826E5" w:rsidR="0015490A" w:rsidRPr="004133EB" w:rsidRDefault="0015490A" w:rsidP="006440CF">
            <w:pPr>
              <w:spacing w:before="60" w:after="60" w:line="240" w:lineRule="auto"/>
              <w:rPr>
                <w:sz w:val="20"/>
              </w:rPr>
            </w:pPr>
            <w:r>
              <w:rPr>
                <w:sz w:val="20"/>
              </w:rPr>
              <w:t>OTVE</w:t>
            </w:r>
            <w:r w:rsidRPr="006B6723">
              <w:rPr>
                <w:sz w:val="20"/>
              </w:rPr>
              <w:t xml:space="preserve"> will continue to progress its analysis of factors underpinning regional visitor dispersa</w:t>
            </w:r>
            <w:r>
              <w:rPr>
                <w:sz w:val="20"/>
              </w:rPr>
              <w:t xml:space="preserve">l, including conducting consultations </w:t>
            </w:r>
            <w:r w:rsidRPr="004133EB">
              <w:rPr>
                <w:sz w:val="20"/>
              </w:rPr>
              <w:t xml:space="preserve">with relevant </w:t>
            </w:r>
            <w:r>
              <w:rPr>
                <w:sz w:val="20"/>
              </w:rPr>
              <w:t>Australian</w:t>
            </w:r>
            <w:r w:rsidRPr="004133EB">
              <w:rPr>
                <w:sz w:val="20"/>
              </w:rPr>
              <w:t xml:space="preserve"> Government departments to discuss regional programs and alignment, and consultation with </w:t>
            </w:r>
            <w:r>
              <w:rPr>
                <w:sz w:val="20"/>
              </w:rPr>
              <w:t>s</w:t>
            </w:r>
            <w:r w:rsidRPr="004133EB">
              <w:rPr>
                <w:sz w:val="20"/>
              </w:rPr>
              <w:t xml:space="preserve">tates and </w:t>
            </w:r>
            <w:r>
              <w:rPr>
                <w:sz w:val="20"/>
              </w:rPr>
              <w:t>t</w:t>
            </w:r>
            <w:r w:rsidRPr="004133EB">
              <w:rPr>
                <w:sz w:val="20"/>
              </w:rPr>
              <w:t>erritories in October-November 2026.</w:t>
            </w:r>
          </w:p>
          <w:p w14:paraId="17223C79" w14:textId="0B0B715C" w:rsidR="0015490A" w:rsidRPr="00307E25" w:rsidRDefault="0015490A" w:rsidP="00530A4C">
            <w:pPr>
              <w:spacing w:before="60" w:after="60" w:line="240" w:lineRule="auto"/>
              <w:rPr>
                <w:sz w:val="20"/>
              </w:rPr>
            </w:pPr>
            <w:r>
              <w:rPr>
                <w:sz w:val="20"/>
              </w:rPr>
              <w:t xml:space="preserve">OTVE is attending the </w:t>
            </w:r>
            <w:hyperlink r:id="rId23" w:history="1">
              <w:r w:rsidRPr="005B347A">
                <w:rPr>
                  <w:rStyle w:val="Hyperlink"/>
                  <w:rFonts w:eastAsia="Verdana" w:cs="Verdana"/>
                  <w:sz w:val="20"/>
                </w:rPr>
                <w:t>Australian Regional Tourism Convention</w:t>
              </w:r>
            </w:hyperlink>
            <w:r w:rsidRPr="003410C2">
              <w:rPr>
                <w:rFonts w:eastAsia="Verdana" w:cs="Verdana"/>
                <w:color w:val="000000" w:themeColor="text1"/>
                <w:sz w:val="20"/>
              </w:rPr>
              <w:t xml:space="preserve"> in Busselton, Western Australia on 21 October 2026</w:t>
            </w:r>
            <w:r>
              <w:rPr>
                <w:rFonts w:eastAsia="Verdana" w:cs="Verdana"/>
                <w:color w:val="000000" w:themeColor="text1"/>
                <w:sz w:val="20"/>
              </w:rPr>
              <w:t xml:space="preserve"> </w:t>
            </w:r>
            <w:r>
              <w:rPr>
                <w:sz w:val="20"/>
              </w:rPr>
              <w:t>and will be engaging with regional tourism stakeholders at the conference.</w:t>
            </w:r>
          </w:p>
        </w:tc>
      </w:tr>
      <w:tr w:rsidR="0015490A" w:rsidRPr="006B6723" w14:paraId="68870CE6" w14:textId="0BD842E3" w:rsidTr="0015490A">
        <w:trPr>
          <w:cnfStyle w:val="000000100000" w:firstRow="0" w:lastRow="0" w:firstColumn="0" w:lastColumn="0" w:oddVBand="0" w:evenVBand="0" w:oddHBand="1" w:evenHBand="0" w:firstRowFirstColumn="0" w:firstRowLastColumn="0" w:lastRowFirstColumn="0" w:lastRowLastColumn="0"/>
          <w:trHeight w:val="920"/>
        </w:trPr>
        <w:tc>
          <w:tcPr>
            <w:tcW w:w="971" w:type="dxa"/>
            <w:tcBorders>
              <w:top w:val="single" w:sz="6" w:space="0" w:color="auto"/>
              <w:left w:val="single" w:sz="6" w:space="0" w:color="auto"/>
              <w:bottom w:val="single" w:sz="6" w:space="0" w:color="auto"/>
              <w:right w:val="single" w:sz="6" w:space="0" w:color="auto"/>
            </w:tcBorders>
            <w:tcMar>
              <w:left w:w="105" w:type="dxa"/>
              <w:right w:w="105" w:type="dxa"/>
            </w:tcMar>
          </w:tcPr>
          <w:p w14:paraId="099DF91E" w14:textId="7AC47F1A" w:rsidR="0015490A" w:rsidRPr="006B6723" w:rsidRDefault="0015490A" w:rsidP="00530A4C">
            <w:pPr>
              <w:spacing w:before="60" w:after="60" w:line="240" w:lineRule="auto"/>
              <w:jc w:val="center"/>
              <w:rPr>
                <w:rFonts w:eastAsia="Verdana" w:cs="Verdana"/>
                <w:color w:val="000000" w:themeColor="text1"/>
                <w:sz w:val="20"/>
              </w:rPr>
            </w:pPr>
            <w:r w:rsidRPr="006B6723">
              <w:rPr>
                <w:rStyle w:val="normaltextrun"/>
                <w:rFonts w:eastAsia="Verdana" w:cs="Verdana"/>
                <w:sz w:val="20"/>
                <w:szCs w:val="20"/>
              </w:rPr>
              <w:t>2.4</w:t>
            </w:r>
          </w:p>
        </w:tc>
        <w:tc>
          <w:tcPr>
            <w:tcW w:w="5125" w:type="dxa"/>
            <w:tcBorders>
              <w:top w:val="single" w:sz="6" w:space="0" w:color="auto"/>
              <w:left w:val="single" w:sz="6" w:space="0" w:color="auto"/>
              <w:bottom w:val="single" w:sz="6" w:space="0" w:color="auto"/>
              <w:right w:val="single" w:sz="6" w:space="0" w:color="auto"/>
            </w:tcBorders>
            <w:tcMar>
              <w:left w:w="105" w:type="dxa"/>
              <w:right w:w="105" w:type="dxa"/>
            </w:tcMar>
          </w:tcPr>
          <w:p w14:paraId="0C6AA8E0" w14:textId="7D5E274C" w:rsidR="0015490A" w:rsidRPr="006B6723" w:rsidRDefault="0015490A" w:rsidP="00530A4C">
            <w:pPr>
              <w:spacing w:before="60" w:after="60" w:line="240" w:lineRule="auto"/>
              <w:rPr>
                <w:sz w:val="20"/>
              </w:rPr>
            </w:pPr>
            <w:r w:rsidRPr="006B6723">
              <w:rPr>
                <w:sz w:val="20"/>
              </w:rPr>
              <w:t>Supporting the development of the agritourism sector, in partnership with industry, including by creating a strategic marketing development plan to drive international visitation, and through national guidelines for measuring and evaluating agritourism.</w:t>
            </w:r>
          </w:p>
        </w:tc>
        <w:tc>
          <w:tcPr>
            <w:tcW w:w="1984" w:type="dxa"/>
            <w:tcBorders>
              <w:top w:val="single" w:sz="6" w:space="0" w:color="auto"/>
              <w:left w:val="single" w:sz="6" w:space="0" w:color="auto"/>
              <w:bottom w:val="single" w:sz="6" w:space="0" w:color="auto"/>
              <w:right w:val="single" w:sz="6" w:space="0" w:color="auto"/>
            </w:tcBorders>
            <w:tcMar>
              <w:left w:w="105" w:type="dxa"/>
              <w:right w:w="105" w:type="dxa"/>
            </w:tcMar>
          </w:tcPr>
          <w:p w14:paraId="72DD5CF5" w14:textId="3A29E02D" w:rsidR="0015490A" w:rsidRPr="006B6723" w:rsidRDefault="0015490A" w:rsidP="00530A4C">
            <w:pPr>
              <w:spacing w:before="60" w:after="60" w:line="240" w:lineRule="auto"/>
              <w:rPr>
                <w:sz w:val="20"/>
              </w:rPr>
            </w:pPr>
            <w:r w:rsidRPr="006B6723">
              <w:rPr>
                <w:sz w:val="20"/>
              </w:rPr>
              <w:t xml:space="preserve">Austrade, Tourism Australia, </w:t>
            </w:r>
            <w:r w:rsidRPr="006B6723">
              <w:rPr>
                <w:i/>
                <w:iCs/>
                <w:sz w:val="20"/>
              </w:rPr>
              <w:t>(DAFF)</w:t>
            </w:r>
          </w:p>
        </w:tc>
        <w:tc>
          <w:tcPr>
            <w:tcW w:w="5779" w:type="dxa"/>
            <w:tcBorders>
              <w:top w:val="single" w:sz="6" w:space="0" w:color="auto"/>
              <w:left w:val="single" w:sz="6" w:space="0" w:color="auto"/>
              <w:bottom w:val="single" w:sz="6" w:space="0" w:color="auto"/>
              <w:right w:val="single" w:sz="6" w:space="0" w:color="auto"/>
            </w:tcBorders>
          </w:tcPr>
          <w:p w14:paraId="19DC3E2E" w14:textId="4DAF22B3" w:rsidR="0015490A" w:rsidRPr="003410C2" w:rsidRDefault="0015490A" w:rsidP="00DB687B">
            <w:pPr>
              <w:spacing w:before="60" w:after="60" w:line="240" w:lineRule="auto"/>
              <w:rPr>
                <w:rFonts w:eastAsia="Verdana" w:cs="Verdana"/>
                <w:color w:val="000000" w:themeColor="text1"/>
                <w:sz w:val="20"/>
              </w:rPr>
            </w:pPr>
            <w:r w:rsidRPr="003410C2">
              <w:rPr>
                <w:rFonts w:eastAsia="Verdana" w:cs="Verdana"/>
                <w:color w:val="000000" w:themeColor="text1"/>
                <w:sz w:val="20"/>
              </w:rPr>
              <w:t xml:space="preserve">The agritourism sector </w:t>
            </w:r>
            <w:r>
              <w:rPr>
                <w:rFonts w:eastAsia="Verdana" w:cs="Verdana"/>
                <w:color w:val="000000" w:themeColor="text1"/>
                <w:sz w:val="20"/>
              </w:rPr>
              <w:t>continued strong integration in</w:t>
            </w:r>
            <w:r w:rsidRPr="003410C2">
              <w:rPr>
                <w:rFonts w:eastAsia="Verdana" w:cs="Verdana"/>
                <w:color w:val="000000" w:themeColor="text1"/>
                <w:sz w:val="20"/>
              </w:rPr>
              <w:t xml:space="preserve"> </w:t>
            </w:r>
            <w:r>
              <w:rPr>
                <w:rFonts w:eastAsia="Verdana" w:cs="Verdana"/>
                <w:color w:val="000000" w:themeColor="text1"/>
                <w:sz w:val="20"/>
              </w:rPr>
              <w:t xml:space="preserve">Tourism Australia’s </w:t>
            </w:r>
            <w:r w:rsidRPr="000C38EC">
              <w:rPr>
                <w:rFonts w:eastAsia="Verdana" w:cs="Verdana"/>
                <w:i/>
                <w:iCs/>
                <w:color w:val="000000" w:themeColor="text1"/>
                <w:sz w:val="20"/>
              </w:rPr>
              <w:t>Tourism 2035</w:t>
            </w:r>
            <w:r w:rsidRPr="003410C2">
              <w:rPr>
                <w:rFonts w:eastAsia="Verdana" w:cs="Verdana"/>
                <w:color w:val="000000" w:themeColor="text1"/>
                <w:sz w:val="20"/>
              </w:rPr>
              <w:t xml:space="preserve"> priorities, with the strategy identifying it as a high potential sector.</w:t>
            </w:r>
          </w:p>
          <w:p w14:paraId="273B9596" w14:textId="37594E06" w:rsidR="0015490A" w:rsidRPr="003410C2" w:rsidRDefault="0015490A" w:rsidP="00CE24AC">
            <w:pPr>
              <w:spacing w:before="60" w:after="60" w:line="240" w:lineRule="auto"/>
              <w:rPr>
                <w:rFonts w:eastAsia="Verdana" w:cs="Verdana"/>
                <w:color w:val="000000" w:themeColor="text1"/>
                <w:sz w:val="20"/>
              </w:rPr>
            </w:pPr>
            <w:r w:rsidRPr="003410C2">
              <w:rPr>
                <w:rFonts w:eastAsia="Verdana" w:cs="Verdana"/>
                <w:color w:val="000000" w:themeColor="text1"/>
                <w:sz w:val="20"/>
              </w:rPr>
              <w:t xml:space="preserve">Tourism Australia continued to include agritourism messaging in marketing activity. The 33-food bowls that Tourism Australia has identified nationally represent 3,200 agritourism aligned operators. </w:t>
            </w:r>
          </w:p>
          <w:p w14:paraId="1D1BC49C" w14:textId="328A02BA" w:rsidR="0015490A" w:rsidRPr="003410C2" w:rsidRDefault="0015490A" w:rsidP="00530A4C">
            <w:pPr>
              <w:spacing w:before="60" w:after="60" w:line="240" w:lineRule="auto"/>
              <w:rPr>
                <w:rFonts w:eastAsia="Verdana" w:cs="Verdana"/>
                <w:color w:val="000000" w:themeColor="text1"/>
                <w:sz w:val="20"/>
              </w:rPr>
            </w:pPr>
            <w:r w:rsidRPr="003410C2">
              <w:rPr>
                <w:rFonts w:eastAsia="Verdana" w:cs="Verdana"/>
                <w:color w:val="000000" w:themeColor="text1"/>
                <w:sz w:val="20"/>
              </w:rPr>
              <w:t xml:space="preserve">Tourism Australia led </w:t>
            </w:r>
            <w:r>
              <w:rPr>
                <w:rFonts w:eastAsia="Verdana" w:cs="Verdana"/>
                <w:color w:val="000000" w:themeColor="text1"/>
                <w:sz w:val="20"/>
              </w:rPr>
              <w:t>a</w:t>
            </w:r>
            <w:r w:rsidRPr="003410C2">
              <w:rPr>
                <w:rFonts w:eastAsia="Verdana" w:cs="Verdana"/>
                <w:color w:val="000000" w:themeColor="text1"/>
                <w:sz w:val="20"/>
              </w:rPr>
              <w:t xml:space="preserve"> </w:t>
            </w:r>
            <w:r>
              <w:rPr>
                <w:rFonts w:eastAsia="Verdana" w:cs="Verdana"/>
                <w:color w:val="000000" w:themeColor="text1"/>
                <w:sz w:val="20"/>
              </w:rPr>
              <w:t>p</w:t>
            </w:r>
            <w:r w:rsidRPr="003410C2">
              <w:rPr>
                <w:rFonts w:eastAsia="Verdana" w:cs="Verdana"/>
                <w:color w:val="000000" w:themeColor="text1"/>
                <w:sz w:val="20"/>
              </w:rPr>
              <w:t xml:space="preserve">roject </w:t>
            </w:r>
            <w:r>
              <w:rPr>
                <w:rFonts w:eastAsia="Verdana" w:cs="Verdana"/>
                <w:color w:val="000000" w:themeColor="text1"/>
                <w:sz w:val="20"/>
              </w:rPr>
              <w:t>w</w:t>
            </w:r>
            <w:r w:rsidRPr="003410C2">
              <w:rPr>
                <w:rFonts w:eastAsia="Verdana" w:cs="Verdana"/>
                <w:color w:val="000000" w:themeColor="text1"/>
                <w:sz w:val="20"/>
              </w:rPr>
              <w:t xml:space="preserve">orking </w:t>
            </w:r>
            <w:r>
              <w:rPr>
                <w:rFonts w:eastAsia="Verdana" w:cs="Verdana"/>
                <w:color w:val="000000" w:themeColor="text1"/>
                <w:sz w:val="20"/>
              </w:rPr>
              <w:t>g</w:t>
            </w:r>
            <w:r w:rsidRPr="003410C2">
              <w:rPr>
                <w:rFonts w:eastAsia="Verdana" w:cs="Verdana"/>
                <w:color w:val="000000" w:themeColor="text1"/>
                <w:sz w:val="20"/>
              </w:rPr>
              <w:t>roup</w:t>
            </w:r>
            <w:r>
              <w:rPr>
                <w:rFonts w:eastAsia="Verdana" w:cs="Verdana"/>
                <w:color w:val="000000" w:themeColor="text1"/>
                <w:sz w:val="20"/>
              </w:rPr>
              <w:t>, including with OTVE,</w:t>
            </w:r>
            <w:r w:rsidRPr="003410C2">
              <w:rPr>
                <w:rFonts w:eastAsia="Verdana" w:cs="Verdana"/>
                <w:color w:val="000000" w:themeColor="text1"/>
                <w:sz w:val="20"/>
              </w:rPr>
              <w:t xml:space="preserve"> on the Agritourism Tracker, which will set the benchmarks to measure the Economic and Social Impact of Agritourism.</w:t>
            </w:r>
          </w:p>
        </w:tc>
        <w:tc>
          <w:tcPr>
            <w:tcW w:w="5561" w:type="dxa"/>
            <w:tcBorders>
              <w:top w:val="single" w:sz="6" w:space="0" w:color="auto"/>
              <w:left w:val="single" w:sz="6" w:space="0" w:color="auto"/>
              <w:bottom w:val="single" w:sz="6" w:space="0" w:color="auto"/>
              <w:right w:val="single" w:sz="6" w:space="0" w:color="auto"/>
            </w:tcBorders>
          </w:tcPr>
          <w:p w14:paraId="0661D9C5" w14:textId="35475FE6" w:rsidR="0015490A" w:rsidRPr="003410C2" w:rsidRDefault="0015490A" w:rsidP="00CE24AC">
            <w:pPr>
              <w:spacing w:before="60" w:after="60" w:line="240" w:lineRule="auto"/>
              <w:rPr>
                <w:rFonts w:eastAsia="Verdana" w:cs="Verdana"/>
                <w:color w:val="000000" w:themeColor="text1"/>
                <w:sz w:val="20"/>
              </w:rPr>
            </w:pPr>
            <w:r w:rsidRPr="003410C2">
              <w:rPr>
                <w:rFonts w:eastAsia="Verdana" w:cs="Verdana"/>
                <w:color w:val="000000" w:themeColor="text1"/>
                <w:sz w:val="20"/>
              </w:rPr>
              <w:t xml:space="preserve">Tourism Australia will present an update on its work promoting and supporting agritourism to industry, </w:t>
            </w:r>
            <w:r>
              <w:rPr>
                <w:sz w:val="20"/>
              </w:rPr>
              <w:t xml:space="preserve">Regional Tourism Organisations (RTOs) </w:t>
            </w:r>
            <w:r w:rsidRPr="003410C2">
              <w:rPr>
                <w:rFonts w:eastAsia="Verdana" w:cs="Verdana"/>
                <w:color w:val="000000" w:themeColor="text1"/>
                <w:sz w:val="20"/>
              </w:rPr>
              <w:t xml:space="preserve">and </w:t>
            </w:r>
            <w:r>
              <w:rPr>
                <w:rFonts w:eastAsia="Verdana" w:cs="Verdana"/>
                <w:color w:val="000000" w:themeColor="text1"/>
                <w:sz w:val="20"/>
              </w:rPr>
              <w:t>State Tourism Organisations (</w:t>
            </w:r>
            <w:r w:rsidRPr="003410C2">
              <w:rPr>
                <w:rFonts w:eastAsia="Verdana" w:cs="Verdana"/>
                <w:color w:val="000000" w:themeColor="text1"/>
                <w:sz w:val="20"/>
              </w:rPr>
              <w:t>STOs</w:t>
            </w:r>
            <w:r>
              <w:rPr>
                <w:rFonts w:eastAsia="Verdana" w:cs="Verdana"/>
                <w:color w:val="000000" w:themeColor="text1"/>
                <w:sz w:val="20"/>
              </w:rPr>
              <w:t>)</w:t>
            </w:r>
            <w:r w:rsidRPr="003410C2">
              <w:rPr>
                <w:rFonts w:eastAsia="Verdana" w:cs="Verdana"/>
                <w:color w:val="000000" w:themeColor="text1"/>
                <w:sz w:val="20"/>
              </w:rPr>
              <w:t xml:space="preserve"> at the </w:t>
            </w:r>
            <w:hyperlink r:id="rId24" w:history="1">
              <w:r w:rsidRPr="005B347A">
                <w:rPr>
                  <w:rStyle w:val="Hyperlink"/>
                  <w:rFonts w:eastAsia="Verdana" w:cs="Verdana"/>
                  <w:sz w:val="20"/>
                </w:rPr>
                <w:t>Australian Regional Tourism Convention</w:t>
              </w:r>
            </w:hyperlink>
            <w:r w:rsidRPr="003410C2">
              <w:rPr>
                <w:rFonts w:eastAsia="Verdana" w:cs="Verdana"/>
                <w:color w:val="000000" w:themeColor="text1"/>
                <w:sz w:val="20"/>
              </w:rPr>
              <w:t xml:space="preserve"> in Busselton, Western Australia on 21 October 2026. </w:t>
            </w:r>
          </w:p>
          <w:p w14:paraId="4D524753" w14:textId="7C24BEFE" w:rsidR="0015490A" w:rsidRPr="003410C2" w:rsidRDefault="0015490A" w:rsidP="00230950">
            <w:pPr>
              <w:spacing w:before="60" w:after="60" w:line="240" w:lineRule="auto"/>
              <w:rPr>
                <w:rFonts w:eastAsia="Verdana" w:cs="Verdana"/>
                <w:color w:val="000000" w:themeColor="text1"/>
                <w:sz w:val="20"/>
              </w:rPr>
            </w:pPr>
            <w:r w:rsidRPr="003410C2">
              <w:rPr>
                <w:rFonts w:eastAsia="Verdana" w:cs="Verdana"/>
                <w:color w:val="000000" w:themeColor="text1"/>
                <w:sz w:val="20"/>
              </w:rPr>
              <w:t xml:space="preserve">Tourism Australia will continue to work with industry to celebrate our agritourism offerings as part of </w:t>
            </w:r>
            <w:r>
              <w:rPr>
                <w:rFonts w:eastAsia="Verdana" w:cs="Verdana"/>
                <w:color w:val="000000" w:themeColor="text1"/>
                <w:sz w:val="20"/>
              </w:rPr>
              <w:t>p</w:t>
            </w:r>
            <w:r w:rsidRPr="003410C2">
              <w:rPr>
                <w:rFonts w:eastAsia="Verdana" w:cs="Verdana"/>
                <w:color w:val="000000" w:themeColor="text1"/>
                <w:sz w:val="20"/>
              </w:rPr>
              <w:t xml:space="preserve">riority 2 in </w:t>
            </w:r>
            <w:r w:rsidRPr="00DB687B">
              <w:rPr>
                <w:rFonts w:eastAsia="Verdana" w:cs="Verdana"/>
                <w:i/>
                <w:iCs/>
                <w:color w:val="000000" w:themeColor="text1"/>
                <w:sz w:val="20"/>
              </w:rPr>
              <w:t>Tourism 2035</w:t>
            </w:r>
            <w:r w:rsidRPr="003410C2">
              <w:rPr>
                <w:rFonts w:eastAsia="Verdana" w:cs="Verdana"/>
                <w:color w:val="000000" w:themeColor="text1"/>
                <w:sz w:val="20"/>
              </w:rPr>
              <w:t xml:space="preserve"> </w:t>
            </w:r>
            <w:r w:rsidRPr="00B77B0A">
              <w:rPr>
                <w:rFonts w:eastAsia="Verdana" w:cs="Verdana"/>
                <w:i/>
                <w:iCs/>
                <w:color w:val="000000" w:themeColor="text1"/>
                <w:sz w:val="20"/>
              </w:rPr>
              <w:t>‘</w:t>
            </w:r>
            <w:r w:rsidRPr="00B77B0A">
              <w:rPr>
                <w:rFonts w:eastAsia="Verdana" w:cs="Verdana"/>
                <w:i/>
                <w:color w:val="000000" w:themeColor="text1"/>
                <w:sz w:val="20"/>
              </w:rPr>
              <w:t xml:space="preserve">Continue to showcase our unrivalled </w:t>
            </w:r>
            <w:r w:rsidRPr="00B77B0A">
              <w:rPr>
                <w:rFonts w:eastAsia="Verdana" w:cs="Verdana"/>
                <w:i/>
                <w:iCs/>
                <w:color w:val="000000" w:themeColor="text1"/>
                <w:sz w:val="20"/>
              </w:rPr>
              <w:t>breadth</w:t>
            </w:r>
            <w:r>
              <w:rPr>
                <w:rFonts w:eastAsia="Verdana" w:cs="Verdana"/>
                <w:color w:val="000000" w:themeColor="text1"/>
                <w:sz w:val="20"/>
              </w:rPr>
              <w:t xml:space="preserve">’ to </w:t>
            </w:r>
            <w:r w:rsidRPr="00334580">
              <w:rPr>
                <w:rFonts w:eastAsia="Verdana" w:cs="Verdana"/>
                <w:color w:val="000000" w:themeColor="text1"/>
                <w:sz w:val="20"/>
              </w:rPr>
              <w:t>promote the full range of experiences available across Australia’s culture, food, lifestyle, events and regional travel</w:t>
            </w:r>
            <w:r w:rsidRPr="003410C2">
              <w:rPr>
                <w:rFonts w:eastAsia="Verdana" w:cs="Verdana"/>
                <w:color w:val="000000" w:themeColor="text1"/>
                <w:sz w:val="20"/>
              </w:rPr>
              <w:t>.</w:t>
            </w:r>
          </w:p>
        </w:tc>
      </w:tr>
      <w:tr w:rsidR="0015490A" w:rsidRPr="006B6723" w14:paraId="4CA38366" w14:textId="1E7FC348" w:rsidTr="0015490A">
        <w:trPr>
          <w:trHeight w:val="920"/>
        </w:trPr>
        <w:tc>
          <w:tcPr>
            <w:tcW w:w="971" w:type="dxa"/>
            <w:tcBorders>
              <w:top w:val="single" w:sz="6" w:space="0" w:color="auto"/>
              <w:left w:val="single" w:sz="6" w:space="0" w:color="auto"/>
              <w:bottom w:val="single" w:sz="6" w:space="0" w:color="auto"/>
              <w:right w:val="single" w:sz="6" w:space="0" w:color="auto"/>
            </w:tcBorders>
            <w:tcMar>
              <w:left w:w="105" w:type="dxa"/>
              <w:right w:w="105" w:type="dxa"/>
            </w:tcMar>
          </w:tcPr>
          <w:p w14:paraId="1EE8144A" w14:textId="5F4CF218" w:rsidR="0015490A" w:rsidRPr="0089364C" w:rsidRDefault="0015490A" w:rsidP="00530A4C">
            <w:pPr>
              <w:spacing w:before="60" w:after="60" w:line="240" w:lineRule="auto"/>
              <w:jc w:val="center"/>
              <w:rPr>
                <w:rFonts w:eastAsia="Verdana" w:cs="Verdana"/>
                <w:color w:val="000000" w:themeColor="text1"/>
                <w:sz w:val="20"/>
              </w:rPr>
            </w:pPr>
            <w:r w:rsidRPr="0089364C">
              <w:rPr>
                <w:rStyle w:val="normaltextrun"/>
                <w:rFonts w:eastAsia="Verdana" w:cs="Verdana"/>
                <w:sz w:val="20"/>
                <w:szCs w:val="20"/>
              </w:rPr>
              <w:t>2.5</w:t>
            </w:r>
          </w:p>
        </w:tc>
        <w:tc>
          <w:tcPr>
            <w:tcW w:w="5125" w:type="dxa"/>
            <w:tcBorders>
              <w:top w:val="single" w:sz="6" w:space="0" w:color="auto"/>
              <w:left w:val="single" w:sz="6" w:space="0" w:color="auto"/>
              <w:bottom w:val="single" w:sz="6" w:space="0" w:color="auto"/>
              <w:right w:val="single" w:sz="6" w:space="0" w:color="auto"/>
            </w:tcBorders>
            <w:tcMar>
              <w:left w:w="105" w:type="dxa"/>
              <w:right w:w="105" w:type="dxa"/>
            </w:tcMar>
          </w:tcPr>
          <w:p w14:paraId="698BEB5B" w14:textId="7E7219BF" w:rsidR="0015490A" w:rsidRPr="006B6723" w:rsidRDefault="0015490A" w:rsidP="00530A4C">
            <w:pPr>
              <w:spacing w:before="60" w:after="60" w:line="240" w:lineRule="auto"/>
              <w:rPr>
                <w:sz w:val="20"/>
              </w:rPr>
            </w:pPr>
            <w:r w:rsidRPr="006B6723">
              <w:rPr>
                <w:sz w:val="20"/>
              </w:rPr>
              <w:t>Delivering a competitive and efficient aviation sector through Aviation White Paper initiatives, such as:</w:t>
            </w:r>
          </w:p>
          <w:p w14:paraId="37D0DF0C" w14:textId="11C97612" w:rsidR="0015490A" w:rsidRPr="006B6723" w:rsidRDefault="0015490A" w:rsidP="00FA5617">
            <w:pPr>
              <w:pStyle w:val="ListParagraph"/>
              <w:numPr>
                <w:ilvl w:val="0"/>
                <w:numId w:val="6"/>
              </w:numPr>
              <w:spacing w:before="60" w:after="60" w:line="240" w:lineRule="auto"/>
              <w:contextualSpacing w:val="0"/>
              <w:rPr>
                <w:sz w:val="20"/>
              </w:rPr>
            </w:pPr>
            <w:r w:rsidRPr="006B6723">
              <w:rPr>
                <w:sz w:val="20"/>
              </w:rPr>
              <w:t>establishing an aviation consumer protection framework with an aviation consumer ombudsperson</w:t>
            </w:r>
          </w:p>
          <w:p w14:paraId="630992CB" w14:textId="78F4FE04" w:rsidR="0015490A" w:rsidRPr="006B6723" w:rsidRDefault="0015490A" w:rsidP="00FA5617">
            <w:pPr>
              <w:pStyle w:val="ListParagraph"/>
              <w:numPr>
                <w:ilvl w:val="0"/>
                <w:numId w:val="6"/>
              </w:numPr>
              <w:spacing w:before="60" w:after="60" w:line="240" w:lineRule="auto"/>
              <w:contextualSpacing w:val="0"/>
              <w:rPr>
                <w:sz w:val="20"/>
              </w:rPr>
            </w:pPr>
            <w:r w:rsidRPr="006B6723">
              <w:rPr>
                <w:sz w:val="20"/>
              </w:rPr>
              <w:t>developing aviation specific disability standards</w:t>
            </w:r>
          </w:p>
          <w:p w14:paraId="33B96753" w14:textId="77777777" w:rsidR="0015490A" w:rsidRPr="006B6723" w:rsidRDefault="0015490A" w:rsidP="00FA5617">
            <w:pPr>
              <w:pStyle w:val="ListParagraph"/>
              <w:numPr>
                <w:ilvl w:val="0"/>
                <w:numId w:val="6"/>
              </w:numPr>
              <w:spacing w:before="60" w:after="60" w:line="240" w:lineRule="auto"/>
              <w:contextualSpacing w:val="0"/>
              <w:rPr>
                <w:sz w:val="20"/>
              </w:rPr>
            </w:pPr>
            <w:r w:rsidRPr="006B6723">
              <w:rPr>
                <w:sz w:val="20"/>
              </w:rPr>
              <w:t xml:space="preserve">continuing to support regional and remote aviation through the Regional </w:t>
            </w:r>
            <w:r w:rsidRPr="006B6723">
              <w:rPr>
                <w:sz w:val="20"/>
              </w:rPr>
              <w:lastRenderedPageBreak/>
              <w:t>Airports and Remote Airstrip Upgrade Programs</w:t>
            </w:r>
          </w:p>
          <w:p w14:paraId="485F29C8" w14:textId="6ABDA002" w:rsidR="0015490A" w:rsidRPr="005A43A5" w:rsidRDefault="0015490A" w:rsidP="00FA5617">
            <w:pPr>
              <w:pStyle w:val="ListParagraph"/>
              <w:numPr>
                <w:ilvl w:val="0"/>
                <w:numId w:val="6"/>
              </w:numPr>
              <w:spacing w:before="60" w:after="60" w:line="240" w:lineRule="auto"/>
              <w:contextualSpacing w:val="0"/>
              <w:rPr>
                <w:b/>
                <w:sz w:val="20"/>
              </w:rPr>
            </w:pPr>
            <w:r w:rsidRPr="006B6723">
              <w:rPr>
                <w:sz w:val="20"/>
              </w:rPr>
              <w:t>pursuing capacity ahead of demand in bilateral air services agreements.</w:t>
            </w:r>
          </w:p>
        </w:tc>
        <w:tc>
          <w:tcPr>
            <w:tcW w:w="1984" w:type="dxa"/>
            <w:tcBorders>
              <w:top w:val="single" w:sz="6" w:space="0" w:color="auto"/>
              <w:left w:val="single" w:sz="6" w:space="0" w:color="auto"/>
              <w:bottom w:val="single" w:sz="6" w:space="0" w:color="auto"/>
              <w:right w:val="single" w:sz="6" w:space="0" w:color="auto"/>
            </w:tcBorders>
            <w:tcMar>
              <w:left w:w="105" w:type="dxa"/>
              <w:right w:w="105" w:type="dxa"/>
            </w:tcMar>
          </w:tcPr>
          <w:p w14:paraId="05D2C1C4" w14:textId="39DF6BF2" w:rsidR="0015490A" w:rsidRPr="006B6723" w:rsidRDefault="0015490A" w:rsidP="00530A4C">
            <w:pPr>
              <w:spacing w:before="60" w:after="60" w:line="240" w:lineRule="auto"/>
              <w:rPr>
                <w:sz w:val="20"/>
              </w:rPr>
            </w:pPr>
            <w:r w:rsidRPr="006B6723">
              <w:rPr>
                <w:sz w:val="20"/>
              </w:rPr>
              <w:lastRenderedPageBreak/>
              <w:t>DITRDCSA</w:t>
            </w:r>
          </w:p>
        </w:tc>
        <w:tc>
          <w:tcPr>
            <w:tcW w:w="5779" w:type="dxa"/>
            <w:tcBorders>
              <w:top w:val="single" w:sz="6" w:space="0" w:color="auto"/>
              <w:left w:val="single" w:sz="6" w:space="0" w:color="auto"/>
              <w:bottom w:val="single" w:sz="6" w:space="0" w:color="auto"/>
              <w:right w:val="single" w:sz="6" w:space="0" w:color="auto"/>
            </w:tcBorders>
          </w:tcPr>
          <w:p w14:paraId="19837590" w14:textId="019A02AD" w:rsidR="0015490A" w:rsidRDefault="0015490A" w:rsidP="00530A4C">
            <w:pPr>
              <w:spacing w:before="60" w:after="60" w:line="240" w:lineRule="auto"/>
              <w:rPr>
                <w:sz w:val="20"/>
              </w:rPr>
            </w:pPr>
            <w:r w:rsidRPr="006B6723">
              <w:rPr>
                <w:sz w:val="20"/>
              </w:rPr>
              <w:t xml:space="preserve">Bills to establish the </w:t>
            </w:r>
            <w:hyperlink r:id="rId25" w:history="1">
              <w:r w:rsidRPr="00957649">
                <w:rPr>
                  <w:rStyle w:val="Hyperlink"/>
                  <w:sz w:val="20"/>
                </w:rPr>
                <w:t>Australian Aviation Consumer Protection Framework</w:t>
              </w:r>
            </w:hyperlink>
            <w:r w:rsidRPr="006B6723">
              <w:rPr>
                <w:sz w:val="20"/>
              </w:rPr>
              <w:t xml:space="preserve"> were </w:t>
            </w:r>
            <w:r>
              <w:rPr>
                <w:sz w:val="20"/>
              </w:rPr>
              <w:t xml:space="preserve">passed by the House of Representatives on 29 June 2026 and introduced into the Senate on 30 June 2026. Note it has not passed the Senate </w:t>
            </w:r>
            <w:proofErr w:type="gramStart"/>
            <w:r>
              <w:rPr>
                <w:sz w:val="20"/>
              </w:rPr>
              <w:t>as yet</w:t>
            </w:r>
            <w:proofErr w:type="gramEnd"/>
            <w:r>
              <w:rPr>
                <w:sz w:val="20"/>
              </w:rPr>
              <w:t>.</w:t>
            </w:r>
          </w:p>
          <w:p w14:paraId="0A9FA934" w14:textId="1E3D3259" w:rsidR="0015490A" w:rsidRPr="00A00BDD" w:rsidRDefault="0015490A" w:rsidP="00E623DE">
            <w:pPr>
              <w:spacing w:before="60" w:after="60" w:line="240" w:lineRule="auto"/>
              <w:rPr>
                <w:sz w:val="20"/>
              </w:rPr>
            </w:pPr>
            <w:r w:rsidRPr="005D3C00">
              <w:rPr>
                <w:sz w:val="20"/>
              </w:rPr>
              <w:t xml:space="preserve">Australia’s first </w:t>
            </w:r>
            <w:hyperlink r:id="rId26" w:history="1">
              <w:r w:rsidRPr="00957649">
                <w:rPr>
                  <w:rStyle w:val="Hyperlink"/>
                  <w:sz w:val="20"/>
                </w:rPr>
                <w:t>Air Travel Passenger Guide</w:t>
              </w:r>
            </w:hyperlink>
            <w:r w:rsidRPr="005D3C00">
              <w:rPr>
                <w:sz w:val="20"/>
              </w:rPr>
              <w:t xml:space="preserve"> to support consumers was published </w:t>
            </w:r>
            <w:r w:rsidRPr="00F3734B">
              <w:rPr>
                <w:sz w:val="20"/>
              </w:rPr>
              <w:t>in August 2026.</w:t>
            </w:r>
            <w:r w:rsidRPr="005D3C00">
              <w:rPr>
                <w:sz w:val="20"/>
              </w:rPr>
              <w:t xml:space="preserve"> The guide is published in </w:t>
            </w:r>
            <w:r w:rsidRPr="00F3734B">
              <w:rPr>
                <w:sz w:val="20"/>
              </w:rPr>
              <w:t>several</w:t>
            </w:r>
            <w:r w:rsidRPr="005D3C00">
              <w:rPr>
                <w:sz w:val="20"/>
              </w:rPr>
              <w:t xml:space="preserve"> languages, in </w:t>
            </w:r>
            <w:r w:rsidRPr="00A00BDD">
              <w:rPr>
                <w:sz w:val="20"/>
              </w:rPr>
              <w:t xml:space="preserve">Easy English and </w:t>
            </w:r>
            <w:proofErr w:type="spellStart"/>
            <w:r w:rsidRPr="00A00BDD">
              <w:rPr>
                <w:sz w:val="20"/>
              </w:rPr>
              <w:t>Auslan</w:t>
            </w:r>
            <w:proofErr w:type="spellEnd"/>
            <w:r w:rsidRPr="00A00BDD">
              <w:rPr>
                <w:sz w:val="20"/>
              </w:rPr>
              <w:t>.</w:t>
            </w:r>
          </w:p>
          <w:p w14:paraId="4512A828" w14:textId="5E141F7F" w:rsidR="0015490A" w:rsidRPr="005D3C00" w:rsidRDefault="0015490A" w:rsidP="00E623DE">
            <w:pPr>
              <w:spacing w:before="60" w:after="60" w:line="240" w:lineRule="auto"/>
              <w:rPr>
                <w:sz w:val="20"/>
              </w:rPr>
            </w:pPr>
            <w:r w:rsidRPr="00A00BDD">
              <w:rPr>
                <w:sz w:val="20"/>
              </w:rPr>
              <w:lastRenderedPageBreak/>
              <w:t xml:space="preserve">The </w:t>
            </w:r>
            <w:hyperlink r:id="rId27" w:history="1">
              <w:r w:rsidRPr="00957649">
                <w:rPr>
                  <w:rStyle w:val="Hyperlink"/>
                  <w:sz w:val="20"/>
                </w:rPr>
                <w:t>Aviation Disability Standards</w:t>
              </w:r>
            </w:hyperlink>
            <w:r w:rsidRPr="00A00BDD">
              <w:rPr>
                <w:sz w:val="20"/>
              </w:rPr>
              <w:t xml:space="preserve"> consultation paper was released on 6 August 2026 and closed on 2 October 2026.  </w:t>
            </w:r>
          </w:p>
          <w:p w14:paraId="457CED90" w14:textId="3DD4C5D5" w:rsidR="0015490A" w:rsidRPr="006B6723" w:rsidRDefault="0015490A" w:rsidP="00530A4C">
            <w:pPr>
              <w:spacing w:before="60" w:after="60" w:line="240" w:lineRule="auto"/>
              <w:rPr>
                <w:sz w:val="20"/>
              </w:rPr>
            </w:pPr>
            <w:r w:rsidRPr="005D3C00">
              <w:rPr>
                <w:sz w:val="20"/>
              </w:rPr>
              <w:t xml:space="preserve">The </w:t>
            </w:r>
            <w:r>
              <w:rPr>
                <w:sz w:val="20"/>
              </w:rPr>
              <w:t>interim o</w:t>
            </w:r>
            <w:r w:rsidRPr="005D3C00">
              <w:rPr>
                <w:sz w:val="20"/>
              </w:rPr>
              <w:t>mbudsperson continued to receive complaints and has provided information and escalated to support resolution for consumers.</w:t>
            </w:r>
          </w:p>
          <w:p w14:paraId="512E78B2" w14:textId="77777777" w:rsidR="0015490A" w:rsidRDefault="0015490A" w:rsidP="00495784">
            <w:pPr>
              <w:spacing w:before="60" w:after="60" w:line="240" w:lineRule="auto"/>
            </w:pPr>
            <w:r w:rsidRPr="001535A3">
              <w:rPr>
                <w:sz w:val="20"/>
              </w:rPr>
              <w:t>Updated</w:t>
            </w:r>
            <w:r w:rsidRPr="00495784">
              <w:t xml:space="preserve"> </w:t>
            </w:r>
            <w:hyperlink r:id="rId28" w:history="1">
              <w:r w:rsidRPr="00E60BB2">
                <w:rPr>
                  <w:rStyle w:val="Hyperlink"/>
                  <w:sz w:val="20"/>
                </w:rPr>
                <w:t>bilateral air services arrangements with Indonesia</w:t>
              </w:r>
            </w:hyperlink>
            <w:r w:rsidRPr="00495784">
              <w:t xml:space="preserve"> </w:t>
            </w:r>
            <w:r w:rsidRPr="001535A3">
              <w:rPr>
                <w:sz w:val="20"/>
              </w:rPr>
              <w:t>were finalised in September 2026.</w:t>
            </w:r>
            <w:r w:rsidRPr="00495784">
              <w:t xml:space="preserve"> </w:t>
            </w:r>
          </w:p>
          <w:p w14:paraId="26EB5837" w14:textId="4C4A15AD" w:rsidR="0015490A" w:rsidRPr="0040720F" w:rsidRDefault="0015490A" w:rsidP="00FA5617">
            <w:pPr>
              <w:pStyle w:val="ListParagraph"/>
              <w:numPr>
                <w:ilvl w:val="0"/>
                <w:numId w:val="10"/>
              </w:numPr>
              <w:spacing w:before="60" w:after="60" w:line="240" w:lineRule="auto"/>
              <w:rPr>
                <w:sz w:val="20"/>
              </w:rPr>
            </w:pPr>
            <w:r w:rsidRPr="0040720F">
              <w:rPr>
                <w:sz w:val="20"/>
              </w:rPr>
              <w:t>The updated arrangements provide enhanced opportunities for airlines to increase capacity to and from Australian and Indonesia's major airports (Jakarta and Denpasar), along with unrestricted passenger capacity between all other international airports in Australia and Indonesia.</w:t>
            </w:r>
          </w:p>
          <w:p w14:paraId="602F0D9C" w14:textId="56CE14A8" w:rsidR="0015490A" w:rsidRPr="006B6723" w:rsidRDefault="0015490A" w:rsidP="00FA5617">
            <w:pPr>
              <w:pStyle w:val="ListParagraph"/>
              <w:numPr>
                <w:ilvl w:val="0"/>
                <w:numId w:val="10"/>
              </w:numPr>
              <w:spacing w:before="60" w:after="60" w:line="240" w:lineRule="auto"/>
            </w:pPr>
            <w:r w:rsidRPr="0040720F">
              <w:rPr>
                <w:sz w:val="20"/>
              </w:rPr>
              <w:t>These updated arrangements support increased tourism, trade and freight outcomes.</w:t>
            </w:r>
          </w:p>
        </w:tc>
        <w:tc>
          <w:tcPr>
            <w:tcW w:w="5561" w:type="dxa"/>
            <w:tcBorders>
              <w:top w:val="single" w:sz="6" w:space="0" w:color="auto"/>
              <w:left w:val="single" w:sz="6" w:space="0" w:color="auto"/>
              <w:bottom w:val="single" w:sz="6" w:space="0" w:color="auto"/>
              <w:right w:val="single" w:sz="6" w:space="0" w:color="auto"/>
            </w:tcBorders>
          </w:tcPr>
          <w:p w14:paraId="364233E9" w14:textId="24F0F8F8" w:rsidR="0015490A" w:rsidRPr="005D3C00" w:rsidRDefault="0015490A" w:rsidP="00630C13">
            <w:pPr>
              <w:spacing w:before="60" w:after="60" w:line="240" w:lineRule="auto"/>
              <w:rPr>
                <w:sz w:val="20"/>
              </w:rPr>
            </w:pPr>
            <w:r w:rsidRPr="005D3C00">
              <w:rPr>
                <w:sz w:val="20"/>
              </w:rPr>
              <w:lastRenderedPageBreak/>
              <w:t xml:space="preserve">Further consultation will occur following the passage of Bills. This includes the </w:t>
            </w:r>
            <w:r>
              <w:rPr>
                <w:sz w:val="20"/>
              </w:rPr>
              <w:t xml:space="preserve">public </w:t>
            </w:r>
            <w:r w:rsidRPr="005D3C00">
              <w:rPr>
                <w:sz w:val="20"/>
              </w:rPr>
              <w:t xml:space="preserve">release of an Exposure Draft of the Aviation Consumer Protection Charter </w:t>
            </w:r>
            <w:r>
              <w:rPr>
                <w:sz w:val="20"/>
              </w:rPr>
              <w:t xml:space="preserve">for comment in 2027, </w:t>
            </w:r>
            <w:r w:rsidRPr="005D3C00">
              <w:rPr>
                <w:sz w:val="20"/>
              </w:rPr>
              <w:t>and an expected working group to support stand up of the Ombuds Scheme.</w:t>
            </w:r>
          </w:p>
          <w:p w14:paraId="6C12D125" w14:textId="554EAD13" w:rsidR="0015490A" w:rsidRDefault="0015490A" w:rsidP="003864D1">
            <w:pPr>
              <w:spacing w:before="60" w:after="60" w:line="240" w:lineRule="auto"/>
              <w:rPr>
                <w:sz w:val="20"/>
              </w:rPr>
            </w:pPr>
            <w:r>
              <w:rPr>
                <w:sz w:val="20"/>
              </w:rPr>
              <w:t>DITRDCSA</w:t>
            </w:r>
            <w:r w:rsidRPr="004133EB">
              <w:rPr>
                <w:sz w:val="20"/>
              </w:rPr>
              <w:t xml:space="preserve"> continues to seek capacity ahead of demand in Australia's bilateral air services arrangements through future air services negotiations.</w:t>
            </w:r>
            <w:r>
              <w:rPr>
                <w:sz w:val="20"/>
              </w:rPr>
              <w:t xml:space="preserve"> </w:t>
            </w:r>
          </w:p>
          <w:p w14:paraId="2C592E7F" w14:textId="565B05FD" w:rsidR="0015490A" w:rsidRDefault="0015490A" w:rsidP="00A00BDD">
            <w:pPr>
              <w:spacing w:before="60" w:after="60" w:line="240" w:lineRule="auto"/>
              <w:rPr>
                <w:sz w:val="20"/>
              </w:rPr>
            </w:pPr>
            <w:r>
              <w:rPr>
                <w:sz w:val="20"/>
              </w:rPr>
              <w:lastRenderedPageBreak/>
              <w:t xml:space="preserve">The Government will consider the Aviation Disability standards </w:t>
            </w:r>
            <w:r w:rsidRPr="00A00BDD">
              <w:rPr>
                <w:sz w:val="20"/>
              </w:rPr>
              <w:t xml:space="preserve">consultation </w:t>
            </w:r>
            <w:r>
              <w:rPr>
                <w:sz w:val="20"/>
              </w:rPr>
              <w:t xml:space="preserve">paper. </w:t>
            </w:r>
          </w:p>
          <w:p w14:paraId="0A2C064F" w14:textId="30191ECF" w:rsidR="0015490A" w:rsidRDefault="0015490A" w:rsidP="00A00BDD">
            <w:pPr>
              <w:spacing w:before="60" w:after="60" w:line="240" w:lineRule="auto"/>
              <w:rPr>
                <w:sz w:val="20"/>
              </w:rPr>
            </w:pPr>
            <w:r w:rsidRPr="006B6723">
              <w:rPr>
                <w:sz w:val="20"/>
              </w:rPr>
              <w:t xml:space="preserve">Western Sydney International (Nancy-Bird Walton) Airport </w:t>
            </w:r>
            <w:r>
              <w:rPr>
                <w:sz w:val="20"/>
              </w:rPr>
              <w:t xml:space="preserve">commences passenger flights on 25 October 2026. Air New Zealand, Singapore Airlines, VietJet and Fiji Airways have all announced services out of Western Sydney Airport. Inaugural flights for each airline will commence 26 October 2026, 23 November 2026, 10 January 2027 and 19 March 2027 respectively.  </w:t>
            </w:r>
          </w:p>
          <w:p w14:paraId="5C3B47EA" w14:textId="77777777" w:rsidR="0015490A" w:rsidRDefault="0015490A" w:rsidP="00A00BDD">
            <w:pPr>
              <w:spacing w:before="60" w:after="60" w:line="240" w:lineRule="auto"/>
              <w:rPr>
                <w:sz w:val="20"/>
              </w:rPr>
            </w:pPr>
          </w:p>
          <w:p w14:paraId="0829F4DD" w14:textId="04091149" w:rsidR="0015490A" w:rsidRPr="00A00BDD" w:rsidRDefault="0015490A" w:rsidP="00A00BDD">
            <w:pPr>
              <w:spacing w:before="60" w:after="60" w:line="240" w:lineRule="auto"/>
              <w:rPr>
                <w:sz w:val="20"/>
              </w:rPr>
            </w:pPr>
          </w:p>
        </w:tc>
      </w:tr>
      <w:tr w:rsidR="0015490A" w:rsidRPr="006B6723" w14:paraId="2B25EBE9" w14:textId="040B1CC7" w:rsidTr="0015490A">
        <w:trPr>
          <w:cnfStyle w:val="000000100000" w:firstRow="0" w:lastRow="0" w:firstColumn="0" w:lastColumn="0" w:oddVBand="0" w:evenVBand="0" w:oddHBand="1" w:evenHBand="0" w:firstRowFirstColumn="0" w:firstRowLastColumn="0" w:lastRowFirstColumn="0" w:lastRowLastColumn="0"/>
          <w:trHeight w:val="268"/>
        </w:trPr>
        <w:tc>
          <w:tcPr>
            <w:tcW w:w="971" w:type="dxa"/>
            <w:tcBorders>
              <w:top w:val="single" w:sz="6" w:space="0" w:color="auto"/>
              <w:left w:val="single" w:sz="6" w:space="0" w:color="auto"/>
              <w:bottom w:val="single" w:sz="6" w:space="0" w:color="auto"/>
              <w:right w:val="single" w:sz="6" w:space="0" w:color="auto"/>
            </w:tcBorders>
            <w:tcMar>
              <w:left w:w="105" w:type="dxa"/>
              <w:right w:w="105" w:type="dxa"/>
            </w:tcMar>
          </w:tcPr>
          <w:p w14:paraId="31C59F7F" w14:textId="673843EB" w:rsidR="0015490A" w:rsidRPr="006B6723" w:rsidRDefault="0015490A" w:rsidP="00530A4C">
            <w:pPr>
              <w:spacing w:before="60" w:after="60" w:line="240" w:lineRule="auto"/>
              <w:jc w:val="center"/>
              <w:rPr>
                <w:rStyle w:val="normaltextrun"/>
                <w:rFonts w:eastAsia="Verdana" w:cs="Verdana"/>
                <w:sz w:val="20"/>
                <w:szCs w:val="20"/>
              </w:rPr>
            </w:pPr>
            <w:r w:rsidRPr="006B6723">
              <w:rPr>
                <w:rStyle w:val="normaltextrun"/>
                <w:rFonts w:eastAsia="Verdana" w:cs="Verdana"/>
                <w:sz w:val="20"/>
                <w:szCs w:val="20"/>
              </w:rPr>
              <w:lastRenderedPageBreak/>
              <w:t>3.1</w:t>
            </w:r>
          </w:p>
        </w:tc>
        <w:tc>
          <w:tcPr>
            <w:tcW w:w="5125" w:type="dxa"/>
            <w:tcBorders>
              <w:top w:val="single" w:sz="6" w:space="0" w:color="auto"/>
              <w:left w:val="single" w:sz="6" w:space="0" w:color="auto"/>
              <w:bottom w:val="single" w:sz="6" w:space="0" w:color="auto"/>
              <w:right w:val="single" w:sz="6" w:space="0" w:color="auto"/>
            </w:tcBorders>
            <w:tcMar>
              <w:left w:w="105" w:type="dxa"/>
              <w:right w:w="105" w:type="dxa"/>
            </w:tcMar>
          </w:tcPr>
          <w:p w14:paraId="394745EA" w14:textId="77777777" w:rsidR="0015490A" w:rsidRPr="006B6723" w:rsidRDefault="0015490A" w:rsidP="00530A4C">
            <w:pPr>
              <w:spacing w:before="60" w:after="60" w:line="240" w:lineRule="auto"/>
              <w:rPr>
                <w:sz w:val="20"/>
              </w:rPr>
            </w:pPr>
            <w:r w:rsidRPr="006B6723">
              <w:rPr>
                <w:sz w:val="20"/>
              </w:rPr>
              <w:t xml:space="preserve">Strengthening employment pathways and supports for career progression through: </w:t>
            </w:r>
          </w:p>
          <w:p w14:paraId="7E51F15A" w14:textId="77777777" w:rsidR="0015490A" w:rsidRPr="006B6723" w:rsidRDefault="0015490A" w:rsidP="00FA5617">
            <w:pPr>
              <w:pStyle w:val="ListParagraph"/>
              <w:numPr>
                <w:ilvl w:val="0"/>
                <w:numId w:val="8"/>
              </w:numPr>
              <w:spacing w:before="60" w:after="60" w:line="240" w:lineRule="auto"/>
              <w:rPr>
                <w:sz w:val="20"/>
              </w:rPr>
            </w:pPr>
            <w:r w:rsidRPr="006B6723">
              <w:rPr>
                <w:sz w:val="20"/>
              </w:rPr>
              <w:t>the Vocational Education and Training system</w:t>
            </w:r>
          </w:p>
          <w:p w14:paraId="28A5179C" w14:textId="77777777" w:rsidR="0015490A" w:rsidRPr="006B6723" w:rsidRDefault="0015490A" w:rsidP="00FA5617">
            <w:pPr>
              <w:pStyle w:val="ListParagraph"/>
              <w:numPr>
                <w:ilvl w:val="0"/>
                <w:numId w:val="8"/>
              </w:numPr>
              <w:spacing w:before="60" w:after="60" w:line="240" w:lineRule="auto"/>
              <w:rPr>
                <w:sz w:val="20"/>
              </w:rPr>
            </w:pPr>
            <w:r w:rsidRPr="006B6723">
              <w:rPr>
                <w:sz w:val="20"/>
              </w:rPr>
              <w:t>support for students and apprentices through the Australian Apprenticeship Support Services and Fee-Free TAFE programs</w:t>
            </w:r>
          </w:p>
          <w:p w14:paraId="608796B5" w14:textId="77777777" w:rsidR="0015490A" w:rsidRPr="006B6723" w:rsidRDefault="0015490A" w:rsidP="00FA5617">
            <w:pPr>
              <w:pStyle w:val="ListParagraph"/>
              <w:numPr>
                <w:ilvl w:val="0"/>
                <w:numId w:val="8"/>
              </w:numPr>
              <w:spacing w:before="60" w:after="60" w:line="240" w:lineRule="auto"/>
              <w:rPr>
                <w:sz w:val="20"/>
              </w:rPr>
            </w:pPr>
            <w:r w:rsidRPr="006B6723">
              <w:rPr>
                <w:sz w:val="20"/>
              </w:rPr>
              <w:t>targeted research by the Jobs and Skills Council into visitor economy occupation shortages</w:t>
            </w:r>
          </w:p>
          <w:p w14:paraId="05849565" w14:textId="0F1B7F2B" w:rsidR="0015490A" w:rsidRPr="006B6723" w:rsidRDefault="0015490A" w:rsidP="00FA5617">
            <w:pPr>
              <w:pStyle w:val="ListParagraph"/>
              <w:numPr>
                <w:ilvl w:val="0"/>
                <w:numId w:val="8"/>
              </w:numPr>
              <w:spacing w:before="60" w:after="60" w:line="240" w:lineRule="auto"/>
              <w:rPr>
                <w:rStyle w:val="normaltextrun"/>
                <w:rFonts w:eastAsia="Verdana" w:cs="Verdana"/>
                <w:sz w:val="20"/>
                <w:szCs w:val="20"/>
              </w:rPr>
            </w:pPr>
            <w:r w:rsidRPr="006B6723">
              <w:rPr>
                <w:sz w:val="20"/>
              </w:rPr>
              <w:t>investigation of a more joined-up tertiary system and improved labour mobility.</w:t>
            </w:r>
          </w:p>
        </w:tc>
        <w:tc>
          <w:tcPr>
            <w:tcW w:w="1984" w:type="dxa"/>
            <w:tcBorders>
              <w:top w:val="single" w:sz="6" w:space="0" w:color="auto"/>
              <w:left w:val="single" w:sz="6" w:space="0" w:color="auto"/>
              <w:bottom w:val="single" w:sz="6" w:space="0" w:color="auto"/>
              <w:right w:val="single" w:sz="6" w:space="0" w:color="auto"/>
            </w:tcBorders>
            <w:tcMar>
              <w:left w:w="105" w:type="dxa"/>
              <w:right w:w="105" w:type="dxa"/>
            </w:tcMar>
          </w:tcPr>
          <w:p w14:paraId="4A63F764" w14:textId="3C1CCEFA" w:rsidR="0015490A" w:rsidRPr="006B6723" w:rsidRDefault="0015490A" w:rsidP="00530A4C">
            <w:pPr>
              <w:spacing w:before="60" w:after="60" w:line="240" w:lineRule="auto"/>
              <w:contextualSpacing/>
              <w:rPr>
                <w:rStyle w:val="normaltextrun"/>
                <w:rFonts w:eastAsia="Verdana" w:cs="Verdana"/>
                <w:color w:val="000000" w:themeColor="text1"/>
                <w:sz w:val="20"/>
                <w:szCs w:val="20"/>
              </w:rPr>
            </w:pPr>
            <w:r w:rsidRPr="006B6723">
              <w:rPr>
                <w:rStyle w:val="normaltextrun"/>
                <w:rFonts w:eastAsia="Verdana" w:cs="Verdana"/>
                <w:color w:val="000000" w:themeColor="text1"/>
                <w:sz w:val="20"/>
                <w:szCs w:val="20"/>
              </w:rPr>
              <w:t>Department of E</w:t>
            </w:r>
            <w:r>
              <w:rPr>
                <w:rStyle w:val="normaltextrun"/>
                <w:rFonts w:eastAsia="Verdana" w:cs="Verdana"/>
                <w:color w:val="000000" w:themeColor="text1"/>
                <w:sz w:val="20"/>
                <w:szCs w:val="20"/>
              </w:rPr>
              <w:t>mployment</w:t>
            </w:r>
            <w:r w:rsidRPr="006B6723">
              <w:rPr>
                <w:rStyle w:val="normaltextrun"/>
                <w:rFonts w:eastAsia="Verdana" w:cs="Verdana"/>
                <w:color w:val="000000" w:themeColor="text1"/>
                <w:sz w:val="20"/>
                <w:szCs w:val="20"/>
              </w:rPr>
              <w:t xml:space="preserve"> and Workplace Relations</w:t>
            </w:r>
          </w:p>
        </w:tc>
        <w:tc>
          <w:tcPr>
            <w:tcW w:w="5779" w:type="dxa"/>
            <w:tcBorders>
              <w:top w:val="single" w:sz="6" w:space="0" w:color="auto"/>
              <w:left w:val="single" w:sz="6" w:space="0" w:color="auto"/>
              <w:bottom w:val="single" w:sz="6" w:space="0" w:color="auto"/>
              <w:right w:val="single" w:sz="6" w:space="0" w:color="auto"/>
            </w:tcBorders>
          </w:tcPr>
          <w:p w14:paraId="4EC5EB23" w14:textId="263FCEB4" w:rsidR="0015490A" w:rsidRPr="006B6723" w:rsidRDefault="0015490A" w:rsidP="00530A4C">
            <w:pPr>
              <w:spacing w:before="60" w:after="60" w:line="240" w:lineRule="auto"/>
              <w:rPr>
                <w:sz w:val="20"/>
              </w:rPr>
            </w:pPr>
            <w:r w:rsidRPr="006B6723">
              <w:rPr>
                <w:sz w:val="20"/>
              </w:rPr>
              <w:t>Services and Creative Skills Australia (</w:t>
            </w:r>
            <w:proofErr w:type="spellStart"/>
            <w:r w:rsidRPr="006B6723">
              <w:rPr>
                <w:sz w:val="20"/>
              </w:rPr>
              <w:t>SaCSA</w:t>
            </w:r>
            <w:proofErr w:type="spellEnd"/>
            <w:r w:rsidRPr="006B6723">
              <w:rPr>
                <w:sz w:val="20"/>
              </w:rPr>
              <w:t>), the Jobs and Skills Council (JSC)</w:t>
            </w:r>
            <w:r>
              <w:rPr>
                <w:sz w:val="20"/>
              </w:rPr>
              <w:t xml:space="preserve"> </w:t>
            </w:r>
            <w:r w:rsidRPr="003B3448">
              <w:rPr>
                <w:sz w:val="20"/>
              </w:rPr>
              <w:t>for the Arts, Personal Services, Retail, Tourism and Hospitality sectors</w:t>
            </w:r>
            <w:r w:rsidRPr="006B6723">
              <w:rPr>
                <w:sz w:val="20"/>
              </w:rPr>
              <w:t xml:space="preserve">, </w:t>
            </w:r>
            <w:r>
              <w:rPr>
                <w:sz w:val="20"/>
              </w:rPr>
              <w:t>continued its</w:t>
            </w:r>
            <w:r w:rsidRPr="006B6723">
              <w:rPr>
                <w:sz w:val="20"/>
              </w:rPr>
              <w:t xml:space="preserve"> research project to explore the drivers of shortages of apprentice chefs, with the aim of delivering practical evidence-based recommendations to support a sustainable, skilled and resilient pipeline of chefs and cooks. </w:t>
            </w:r>
          </w:p>
          <w:p w14:paraId="555598A6" w14:textId="77777777" w:rsidR="0015490A" w:rsidRDefault="0015490A" w:rsidP="002E6BA2">
            <w:pPr>
              <w:spacing w:before="60" w:after="60" w:line="240" w:lineRule="auto"/>
              <w:rPr>
                <w:sz w:val="20"/>
              </w:rPr>
            </w:pPr>
            <w:r w:rsidRPr="001A48DC">
              <w:rPr>
                <w:sz w:val="20"/>
              </w:rPr>
              <w:t xml:space="preserve">In July 2026 </w:t>
            </w:r>
            <w:proofErr w:type="spellStart"/>
            <w:r w:rsidRPr="001A48DC">
              <w:rPr>
                <w:sz w:val="20"/>
              </w:rPr>
              <w:t>SaCSA</w:t>
            </w:r>
            <w:proofErr w:type="spellEnd"/>
            <w:r w:rsidRPr="001A48DC">
              <w:rPr>
                <w:sz w:val="20"/>
              </w:rPr>
              <w:t xml:space="preserve"> launched public consultation</w:t>
            </w:r>
            <w:r w:rsidRPr="006B6723">
              <w:rPr>
                <w:sz w:val="20"/>
              </w:rPr>
              <w:t xml:space="preserve"> to </w:t>
            </w:r>
            <w:r w:rsidRPr="001A48DC">
              <w:rPr>
                <w:sz w:val="20"/>
              </w:rPr>
              <w:t>inform</w:t>
            </w:r>
            <w:r w:rsidRPr="006B6723">
              <w:rPr>
                <w:sz w:val="20"/>
              </w:rPr>
              <w:t xml:space="preserve"> a </w:t>
            </w:r>
            <w:hyperlink r:id="rId29" w:history="1">
              <w:r w:rsidRPr="008154A3">
                <w:rPr>
                  <w:rStyle w:val="Hyperlink"/>
                  <w:sz w:val="20"/>
                </w:rPr>
                <w:t>training product development project</w:t>
              </w:r>
            </w:hyperlink>
            <w:r w:rsidRPr="006B6723">
              <w:rPr>
                <w:sz w:val="20"/>
              </w:rPr>
              <w:t xml:space="preserve"> to review and update tourism, travel, and guiding certificate III qualifications</w:t>
            </w:r>
            <w:r>
              <w:rPr>
                <w:sz w:val="20"/>
              </w:rPr>
              <w:t xml:space="preserve">. </w:t>
            </w:r>
          </w:p>
          <w:p w14:paraId="129082A0" w14:textId="77777777" w:rsidR="0015490A" w:rsidRDefault="0015490A" w:rsidP="00FA5617">
            <w:pPr>
              <w:pStyle w:val="ListParagraph"/>
              <w:numPr>
                <w:ilvl w:val="0"/>
                <w:numId w:val="14"/>
              </w:numPr>
              <w:spacing w:before="60" w:after="60" w:line="240" w:lineRule="auto"/>
              <w:rPr>
                <w:sz w:val="20"/>
              </w:rPr>
            </w:pPr>
            <w:r w:rsidRPr="00993393">
              <w:rPr>
                <w:sz w:val="20"/>
              </w:rPr>
              <w:t xml:space="preserve">A Technical Committee was stood up in July 2026 to provide expert advice and support to this project. </w:t>
            </w:r>
          </w:p>
          <w:p w14:paraId="140F1F7C" w14:textId="273AB723" w:rsidR="0015490A" w:rsidRPr="00993393" w:rsidRDefault="0015490A" w:rsidP="00FA5617">
            <w:pPr>
              <w:pStyle w:val="ListParagraph"/>
              <w:numPr>
                <w:ilvl w:val="0"/>
                <w:numId w:val="14"/>
              </w:numPr>
              <w:spacing w:before="60" w:after="60" w:line="240" w:lineRule="auto"/>
              <w:rPr>
                <w:sz w:val="20"/>
              </w:rPr>
            </w:pPr>
            <w:r w:rsidRPr="00993393">
              <w:rPr>
                <w:sz w:val="20"/>
              </w:rPr>
              <w:t>The Technical Committee met in July and September 2026 to review feedback from initial consultations</w:t>
            </w:r>
            <w:r>
              <w:rPr>
                <w:sz w:val="20"/>
              </w:rPr>
              <w:t>.</w:t>
            </w:r>
          </w:p>
          <w:p w14:paraId="68DE2134" w14:textId="43356DAA" w:rsidR="0015490A" w:rsidRDefault="0015490A" w:rsidP="002E6BA2">
            <w:pPr>
              <w:spacing w:before="60" w:after="60" w:line="240" w:lineRule="auto"/>
              <w:rPr>
                <w:sz w:val="20"/>
              </w:rPr>
            </w:pPr>
            <w:proofErr w:type="spellStart"/>
            <w:r w:rsidRPr="006B6723">
              <w:rPr>
                <w:sz w:val="20"/>
              </w:rPr>
              <w:t>SaCSA</w:t>
            </w:r>
            <w:proofErr w:type="spellEnd"/>
            <w:r w:rsidRPr="006B6723">
              <w:rPr>
                <w:sz w:val="20"/>
              </w:rPr>
              <w:t xml:space="preserve"> also</w:t>
            </w:r>
            <w:r>
              <w:rPr>
                <w:sz w:val="20"/>
              </w:rPr>
              <w:t xml:space="preserve"> continued</w:t>
            </w:r>
            <w:r w:rsidRPr="006B6723">
              <w:rPr>
                <w:sz w:val="20"/>
              </w:rPr>
              <w:t xml:space="preserve"> activity to map career pathways of key occupations in the tourism and hospitality industry.</w:t>
            </w:r>
          </w:p>
          <w:p w14:paraId="719C04EF" w14:textId="77777777" w:rsidR="0015490A" w:rsidRDefault="0015490A" w:rsidP="002E6BA2">
            <w:pPr>
              <w:spacing w:before="60" w:after="60" w:line="240" w:lineRule="auto"/>
              <w:rPr>
                <w:sz w:val="20"/>
              </w:rPr>
            </w:pPr>
            <w:r w:rsidRPr="006B6723">
              <w:rPr>
                <w:sz w:val="20"/>
              </w:rPr>
              <w:t>The </w:t>
            </w:r>
            <w:r>
              <w:rPr>
                <w:sz w:val="20"/>
              </w:rPr>
              <w:t xml:space="preserve">Australian </w:t>
            </w:r>
            <w:r w:rsidRPr="006B6723">
              <w:rPr>
                <w:sz w:val="20"/>
              </w:rPr>
              <w:t xml:space="preserve">Government, in partnership with state and territory governments, </w:t>
            </w:r>
            <w:r>
              <w:rPr>
                <w:sz w:val="20"/>
              </w:rPr>
              <w:t>continued delivery of</w:t>
            </w:r>
            <w:r w:rsidRPr="006B6723">
              <w:rPr>
                <w:sz w:val="20"/>
              </w:rPr>
              <w:t xml:space="preserve"> $1.5 billion in joint funding for Free TAFE places across Australia from 2023 to 2026. </w:t>
            </w:r>
          </w:p>
          <w:p w14:paraId="16B49A4F" w14:textId="4089D421" w:rsidR="0015490A" w:rsidRPr="006B6723" w:rsidRDefault="0015490A" w:rsidP="00FA5617">
            <w:pPr>
              <w:pStyle w:val="ListParagraph"/>
              <w:numPr>
                <w:ilvl w:val="0"/>
                <w:numId w:val="15"/>
              </w:numPr>
              <w:spacing w:before="60" w:after="60" w:line="240" w:lineRule="auto"/>
              <w:rPr>
                <w:sz w:val="20"/>
              </w:rPr>
            </w:pPr>
            <w:r w:rsidRPr="008275A1">
              <w:rPr>
                <w:sz w:val="20"/>
              </w:rPr>
              <w:t>To date, there have been over 851,</w:t>
            </w:r>
            <w:r w:rsidRPr="008275A1" w:rsidDel="0044726A">
              <w:rPr>
                <w:sz w:val="20"/>
              </w:rPr>
              <w:t>000</w:t>
            </w:r>
            <w:r w:rsidRPr="008275A1">
              <w:rPr>
                <w:sz w:val="20"/>
              </w:rPr>
              <w:t xml:space="preserve"> Free TAFE enrolments, including more than 31,000 (3.7%) in hospitality and tourism, one of the top five national priority sectors.</w:t>
            </w:r>
          </w:p>
        </w:tc>
        <w:tc>
          <w:tcPr>
            <w:tcW w:w="5561" w:type="dxa"/>
            <w:tcBorders>
              <w:top w:val="single" w:sz="6" w:space="0" w:color="auto"/>
              <w:left w:val="single" w:sz="6" w:space="0" w:color="auto"/>
              <w:bottom w:val="single" w:sz="6" w:space="0" w:color="auto"/>
              <w:right w:val="single" w:sz="6" w:space="0" w:color="auto"/>
            </w:tcBorders>
          </w:tcPr>
          <w:p w14:paraId="2680B5B7" w14:textId="77777777" w:rsidR="0015490A" w:rsidRDefault="0015490A" w:rsidP="00F97A2A">
            <w:pPr>
              <w:spacing w:before="60" w:after="60" w:line="240" w:lineRule="auto"/>
              <w:rPr>
                <w:sz w:val="20"/>
              </w:rPr>
            </w:pPr>
            <w:proofErr w:type="spellStart"/>
            <w:r w:rsidRPr="0040720F">
              <w:rPr>
                <w:sz w:val="20"/>
              </w:rPr>
              <w:t>SaCSA</w:t>
            </w:r>
            <w:proofErr w:type="spellEnd"/>
            <w:r w:rsidRPr="0040720F">
              <w:rPr>
                <w:sz w:val="20"/>
              </w:rPr>
              <w:t xml:space="preserve"> </w:t>
            </w:r>
            <w:r>
              <w:rPr>
                <w:sz w:val="20"/>
              </w:rPr>
              <w:t>will continue work on the</w:t>
            </w:r>
            <w:r w:rsidRPr="0040720F">
              <w:rPr>
                <w:sz w:val="20"/>
              </w:rPr>
              <w:t xml:space="preserve"> National Visitor Economy Workforce Analysis, including visitor economy workforce projections, surge workforce requirements and Olympic-related workforce demand.</w:t>
            </w:r>
            <w:r>
              <w:rPr>
                <w:sz w:val="20"/>
              </w:rPr>
              <w:t xml:space="preserve"> </w:t>
            </w:r>
          </w:p>
          <w:p w14:paraId="2CF38640" w14:textId="033F17CD" w:rsidR="0015490A" w:rsidRPr="0040720F" w:rsidRDefault="0015490A" w:rsidP="00FA5617">
            <w:pPr>
              <w:pStyle w:val="ListParagraph"/>
              <w:numPr>
                <w:ilvl w:val="0"/>
                <w:numId w:val="14"/>
              </w:numPr>
              <w:spacing w:before="60" w:after="60" w:line="240" w:lineRule="auto"/>
              <w:rPr>
                <w:sz w:val="20"/>
              </w:rPr>
            </w:pPr>
            <w:r>
              <w:rPr>
                <w:sz w:val="20"/>
              </w:rPr>
              <w:t>This work is estimated to be completed by March 2027.</w:t>
            </w:r>
          </w:p>
          <w:p w14:paraId="47C12064" w14:textId="77777777" w:rsidR="0015490A" w:rsidRDefault="0015490A" w:rsidP="00A91C0A">
            <w:pPr>
              <w:spacing w:before="60" w:after="60" w:line="240" w:lineRule="auto"/>
              <w:rPr>
                <w:sz w:val="20"/>
              </w:rPr>
            </w:pPr>
            <w:r>
              <w:rPr>
                <w:sz w:val="20"/>
              </w:rPr>
              <w:t>The Technical Committee for the review and update of tourism, travel and guiding certificate II qualifications will meet again in November 2026.</w:t>
            </w:r>
          </w:p>
          <w:p w14:paraId="2990980D" w14:textId="4D00CE01" w:rsidR="0015490A" w:rsidRPr="006B6723" w:rsidRDefault="0015490A" w:rsidP="00F97A2A">
            <w:pPr>
              <w:spacing w:before="60" w:after="60" w:line="240" w:lineRule="auto"/>
              <w:rPr>
                <w:sz w:val="20"/>
              </w:rPr>
            </w:pPr>
            <w:r>
              <w:rPr>
                <w:sz w:val="20"/>
              </w:rPr>
              <w:t>Updates</w:t>
            </w:r>
            <w:r w:rsidRPr="00716570" w:rsidDel="00A54705">
              <w:rPr>
                <w:sz w:val="20"/>
              </w:rPr>
              <w:t xml:space="preserve"> to</w:t>
            </w:r>
            <w:r w:rsidRPr="006B6723" w:rsidDel="00A54705">
              <w:rPr>
                <w:sz w:val="20"/>
              </w:rPr>
              <w:t xml:space="preserve"> </w:t>
            </w:r>
            <w:r w:rsidRPr="006B6723">
              <w:rPr>
                <w:sz w:val="20"/>
              </w:rPr>
              <w:t>certificate III level commercial cookery qualifications</w:t>
            </w:r>
            <w:r w:rsidRPr="001A48DC">
              <w:rPr>
                <w:sz w:val="20"/>
              </w:rPr>
              <w:t xml:space="preserve"> </w:t>
            </w:r>
            <w:r>
              <w:rPr>
                <w:sz w:val="20"/>
              </w:rPr>
              <w:t xml:space="preserve">will be finalised </w:t>
            </w:r>
            <w:r w:rsidRPr="001A48DC">
              <w:rPr>
                <w:sz w:val="20"/>
              </w:rPr>
              <w:t xml:space="preserve">in </w:t>
            </w:r>
            <w:r>
              <w:rPr>
                <w:sz w:val="20"/>
              </w:rPr>
              <w:t>early 2027</w:t>
            </w:r>
            <w:r w:rsidRPr="001A48DC">
              <w:rPr>
                <w:sz w:val="20"/>
              </w:rPr>
              <w:t>.</w:t>
            </w:r>
          </w:p>
        </w:tc>
      </w:tr>
      <w:tr w:rsidR="0015490A" w:rsidRPr="006B6723" w14:paraId="2FAEA709" w14:textId="4156FA75" w:rsidTr="0015490A">
        <w:trPr>
          <w:trHeight w:val="920"/>
        </w:trPr>
        <w:tc>
          <w:tcPr>
            <w:tcW w:w="971" w:type="dxa"/>
            <w:tcBorders>
              <w:top w:val="single" w:sz="6" w:space="0" w:color="auto"/>
              <w:left w:val="single" w:sz="6" w:space="0" w:color="auto"/>
              <w:bottom w:val="single" w:sz="6" w:space="0" w:color="auto"/>
              <w:right w:val="single" w:sz="6" w:space="0" w:color="auto"/>
            </w:tcBorders>
            <w:tcMar>
              <w:left w:w="105" w:type="dxa"/>
              <w:right w:w="105" w:type="dxa"/>
            </w:tcMar>
          </w:tcPr>
          <w:p w14:paraId="1FE7709F" w14:textId="25F0610E" w:rsidR="0015490A" w:rsidRPr="006B6723" w:rsidRDefault="0015490A" w:rsidP="00530A4C">
            <w:pPr>
              <w:spacing w:before="60" w:after="60" w:line="240" w:lineRule="auto"/>
              <w:jc w:val="center"/>
              <w:rPr>
                <w:rStyle w:val="normaltextrun"/>
                <w:rFonts w:eastAsia="Verdana" w:cs="Verdana"/>
                <w:sz w:val="20"/>
                <w:szCs w:val="20"/>
              </w:rPr>
            </w:pPr>
            <w:r w:rsidRPr="006B6723">
              <w:rPr>
                <w:rStyle w:val="normaltextrun"/>
                <w:rFonts w:eastAsia="Verdana" w:cs="Verdana"/>
                <w:sz w:val="20"/>
                <w:szCs w:val="20"/>
              </w:rPr>
              <w:lastRenderedPageBreak/>
              <w:t>3.2</w:t>
            </w:r>
          </w:p>
        </w:tc>
        <w:tc>
          <w:tcPr>
            <w:tcW w:w="5125" w:type="dxa"/>
            <w:tcBorders>
              <w:top w:val="single" w:sz="6" w:space="0" w:color="auto"/>
              <w:left w:val="single" w:sz="6" w:space="0" w:color="auto"/>
              <w:bottom w:val="single" w:sz="6" w:space="0" w:color="auto"/>
              <w:right w:val="single" w:sz="6" w:space="0" w:color="auto"/>
            </w:tcBorders>
            <w:tcMar>
              <w:left w:w="105" w:type="dxa"/>
              <w:right w:w="105" w:type="dxa"/>
            </w:tcMar>
          </w:tcPr>
          <w:p w14:paraId="0CD84135" w14:textId="4AE62E1D" w:rsidR="0015490A" w:rsidRPr="006B6723" w:rsidRDefault="0015490A" w:rsidP="00530A4C">
            <w:pPr>
              <w:spacing w:before="60" w:after="60" w:line="240" w:lineRule="auto"/>
              <w:rPr>
                <w:sz w:val="20"/>
              </w:rPr>
            </w:pPr>
            <w:r w:rsidRPr="006B6723">
              <w:rPr>
                <w:sz w:val="20"/>
              </w:rPr>
              <w:t>Providing a streamlined migration system to achieve better targeted temporary skilled migration, more tailored regional visa settings and a reshaped permanent skilled migration system to help meet tourism industry skills needs and support productivity growth.</w:t>
            </w:r>
          </w:p>
        </w:tc>
        <w:tc>
          <w:tcPr>
            <w:tcW w:w="1984" w:type="dxa"/>
            <w:tcBorders>
              <w:top w:val="single" w:sz="6" w:space="0" w:color="auto"/>
              <w:left w:val="single" w:sz="6" w:space="0" w:color="auto"/>
              <w:bottom w:val="single" w:sz="6" w:space="0" w:color="auto"/>
              <w:right w:val="single" w:sz="6" w:space="0" w:color="auto"/>
            </w:tcBorders>
            <w:tcMar>
              <w:left w:w="105" w:type="dxa"/>
              <w:right w:w="105" w:type="dxa"/>
            </w:tcMar>
          </w:tcPr>
          <w:p w14:paraId="5F4A3FA1" w14:textId="042B74B3" w:rsidR="0015490A" w:rsidRPr="006B6723" w:rsidRDefault="0015490A" w:rsidP="00530A4C">
            <w:pPr>
              <w:spacing w:before="60" w:after="60" w:line="240" w:lineRule="auto"/>
              <w:rPr>
                <w:rStyle w:val="normaltextrun"/>
                <w:rFonts w:eastAsia="Verdana" w:cs="Verdana"/>
                <w:color w:val="000000" w:themeColor="text1"/>
                <w:sz w:val="20"/>
                <w:szCs w:val="20"/>
              </w:rPr>
            </w:pPr>
            <w:r w:rsidRPr="006B6723">
              <w:rPr>
                <w:sz w:val="20"/>
              </w:rPr>
              <w:t>Department of Home Affairs</w:t>
            </w:r>
          </w:p>
        </w:tc>
        <w:tc>
          <w:tcPr>
            <w:tcW w:w="5779" w:type="dxa"/>
            <w:tcBorders>
              <w:top w:val="single" w:sz="6" w:space="0" w:color="auto"/>
              <w:left w:val="single" w:sz="6" w:space="0" w:color="auto"/>
              <w:bottom w:val="single" w:sz="6" w:space="0" w:color="auto"/>
              <w:right w:val="single" w:sz="6" w:space="0" w:color="auto"/>
            </w:tcBorders>
          </w:tcPr>
          <w:p w14:paraId="1A442CFB" w14:textId="4A0ED924" w:rsidR="0015490A" w:rsidRDefault="0015490A" w:rsidP="00B6509E">
            <w:pPr>
              <w:spacing w:before="60" w:after="60" w:line="240" w:lineRule="auto"/>
              <w:rPr>
                <w:rFonts w:eastAsia="Verdana" w:cs="Verdana"/>
                <w:sz w:val="20"/>
              </w:rPr>
            </w:pPr>
            <w:r>
              <w:rPr>
                <w:rFonts w:eastAsia="Verdana" w:cs="Verdana"/>
                <w:sz w:val="20"/>
              </w:rPr>
              <w:t xml:space="preserve">The </w:t>
            </w:r>
            <w:r w:rsidRPr="00B443BC">
              <w:rPr>
                <w:rFonts w:eastAsia="Verdana" w:cs="Verdana"/>
                <w:sz w:val="20"/>
              </w:rPr>
              <w:t>Skills in Demand (SID) visa</w:t>
            </w:r>
            <w:r>
              <w:rPr>
                <w:rFonts w:eastAsia="Verdana" w:cs="Verdana"/>
                <w:sz w:val="20"/>
              </w:rPr>
              <w:t xml:space="preserve"> is an ongoing</w:t>
            </w:r>
            <w:r w:rsidRPr="00B443BC">
              <w:rPr>
                <w:rFonts w:eastAsia="Verdana" w:cs="Verdana"/>
                <w:sz w:val="20"/>
              </w:rPr>
              <w:t xml:space="preserve"> </w:t>
            </w:r>
            <w:r>
              <w:rPr>
                <w:rFonts w:eastAsia="Verdana" w:cs="Verdana"/>
                <w:sz w:val="20"/>
              </w:rPr>
              <w:t>business-as-usual</w:t>
            </w:r>
            <w:r w:rsidRPr="00B443BC">
              <w:rPr>
                <w:rFonts w:eastAsia="Verdana" w:cs="Verdana"/>
                <w:sz w:val="20"/>
              </w:rPr>
              <w:t xml:space="preserve"> program within the </w:t>
            </w:r>
            <w:r>
              <w:rPr>
                <w:rFonts w:eastAsia="Verdana" w:cs="Verdana"/>
                <w:sz w:val="20"/>
              </w:rPr>
              <w:t>s</w:t>
            </w:r>
            <w:r w:rsidRPr="00B443BC">
              <w:rPr>
                <w:rFonts w:eastAsia="Verdana" w:cs="Verdana"/>
                <w:sz w:val="20"/>
              </w:rPr>
              <w:t xml:space="preserve">killed visa program. </w:t>
            </w:r>
          </w:p>
          <w:p w14:paraId="30CC207B" w14:textId="4C2E81D4" w:rsidR="0015490A" w:rsidRPr="00970ECC" w:rsidRDefault="0015490A" w:rsidP="00FA5617">
            <w:pPr>
              <w:pStyle w:val="ListParagraph"/>
              <w:numPr>
                <w:ilvl w:val="0"/>
                <w:numId w:val="14"/>
              </w:numPr>
              <w:spacing w:before="60" w:after="60" w:line="240" w:lineRule="auto"/>
              <w:rPr>
                <w:sz w:val="20"/>
              </w:rPr>
            </w:pPr>
            <w:r>
              <w:rPr>
                <w:sz w:val="20"/>
              </w:rPr>
              <w:t>It</w:t>
            </w:r>
            <w:r w:rsidRPr="00970ECC">
              <w:rPr>
                <w:sz w:val="20"/>
              </w:rPr>
              <w:t xml:space="preserve"> enables employers to address labour shortages by bringing in skilled workers where they can't source an appropriately skilled Australian worker. </w:t>
            </w:r>
          </w:p>
          <w:p w14:paraId="1B7AA2C3" w14:textId="1A39A719" w:rsidR="0015490A" w:rsidRPr="006B6723" w:rsidRDefault="0015490A" w:rsidP="00FA5617">
            <w:pPr>
              <w:pStyle w:val="ListParagraph"/>
              <w:numPr>
                <w:ilvl w:val="0"/>
                <w:numId w:val="14"/>
              </w:numPr>
              <w:spacing w:before="60" w:after="60" w:line="240" w:lineRule="auto"/>
              <w:rPr>
                <w:rStyle w:val="normaltextrun"/>
                <w:rFonts w:eastAsia="Verdana" w:cs="Verdana"/>
                <w:sz w:val="20"/>
                <w:szCs w:val="20"/>
              </w:rPr>
            </w:pPr>
            <w:r w:rsidRPr="00970ECC">
              <w:rPr>
                <w:sz w:val="20"/>
              </w:rPr>
              <w:t>Visa holders have a clear pathway to permanent residence, providing certainty to both migrants and employers.</w:t>
            </w:r>
          </w:p>
        </w:tc>
        <w:tc>
          <w:tcPr>
            <w:tcW w:w="5561" w:type="dxa"/>
            <w:tcBorders>
              <w:top w:val="single" w:sz="6" w:space="0" w:color="auto"/>
              <w:left w:val="single" w:sz="6" w:space="0" w:color="auto"/>
              <w:bottom w:val="single" w:sz="6" w:space="0" w:color="auto"/>
              <w:right w:val="single" w:sz="6" w:space="0" w:color="auto"/>
            </w:tcBorders>
          </w:tcPr>
          <w:p w14:paraId="1F8D5CC4" w14:textId="6B9DE14C" w:rsidR="003B5E50" w:rsidRDefault="003B5E50" w:rsidP="00F6239D">
            <w:pPr>
              <w:spacing w:before="60" w:after="60" w:line="240" w:lineRule="auto"/>
              <w:rPr>
                <w:rFonts w:eastAsia="Verdana" w:cs="Verdana"/>
                <w:sz w:val="20"/>
              </w:rPr>
            </w:pPr>
            <w:r w:rsidRPr="003B5E50">
              <w:rPr>
                <w:rFonts w:eastAsia="Verdana" w:cs="Verdana"/>
                <w:sz w:val="20"/>
              </w:rPr>
              <w:t>The Australian Government is reforming Australia's skilled migration system to better identify and attract migrants with the attributes that support productivity, meet workforce needs and contribute to Australia's long-term economic prosperity.</w:t>
            </w:r>
          </w:p>
          <w:p w14:paraId="30346D31" w14:textId="35934CD3" w:rsidR="0015490A" w:rsidRPr="00F6239D" w:rsidRDefault="0015490A" w:rsidP="00F6239D">
            <w:pPr>
              <w:spacing w:before="60" w:after="60" w:line="240" w:lineRule="auto"/>
              <w:rPr>
                <w:rFonts w:eastAsia="Verdana" w:cs="Verdana"/>
                <w:sz w:val="20"/>
              </w:rPr>
            </w:pPr>
            <w:r w:rsidRPr="00F6239D">
              <w:rPr>
                <w:rFonts w:eastAsia="Verdana" w:cs="Verdana"/>
                <w:sz w:val="20"/>
              </w:rPr>
              <w:t xml:space="preserve">Implementation of </w:t>
            </w:r>
            <w:r>
              <w:rPr>
                <w:rFonts w:eastAsia="Verdana" w:cs="Verdana"/>
                <w:sz w:val="20"/>
              </w:rPr>
              <w:t>a</w:t>
            </w:r>
            <w:r w:rsidRPr="00F6239D">
              <w:rPr>
                <w:rFonts w:eastAsia="Verdana" w:cs="Verdana"/>
                <w:sz w:val="20"/>
              </w:rPr>
              <w:t xml:space="preserve"> new points test is planned for </w:t>
            </w:r>
            <w:r w:rsidR="003B5E50">
              <w:rPr>
                <w:rFonts w:eastAsia="Verdana" w:cs="Verdana"/>
                <w:sz w:val="20"/>
              </w:rPr>
              <w:t>April</w:t>
            </w:r>
            <w:r w:rsidRPr="00F6239D">
              <w:rPr>
                <w:rFonts w:eastAsia="Verdana" w:cs="Verdana"/>
                <w:sz w:val="20"/>
              </w:rPr>
              <w:t xml:space="preserve"> 2027, and the Department of Home Affairs will engage with stakeholders on further details and transitional arrangements as the implementation work progresses.</w:t>
            </w:r>
          </w:p>
          <w:p w14:paraId="298A2F00" w14:textId="77777777" w:rsidR="0015490A" w:rsidRDefault="0015490A" w:rsidP="00530A4C">
            <w:pPr>
              <w:spacing w:before="60" w:after="60" w:line="240" w:lineRule="auto"/>
              <w:rPr>
                <w:rFonts w:eastAsia="Verdana" w:cs="Verdana"/>
                <w:sz w:val="20"/>
              </w:rPr>
            </w:pPr>
          </w:p>
          <w:p w14:paraId="4AC2D693" w14:textId="23D4BF88" w:rsidR="003F0EBA" w:rsidRPr="003B3E09" w:rsidRDefault="003F0EBA" w:rsidP="00530A4C">
            <w:pPr>
              <w:spacing w:before="60" w:after="60" w:line="240" w:lineRule="auto"/>
              <w:rPr>
                <w:rFonts w:eastAsia="Verdana" w:cs="Verdana"/>
                <w:sz w:val="20"/>
              </w:rPr>
            </w:pPr>
          </w:p>
        </w:tc>
      </w:tr>
      <w:tr w:rsidR="0015490A" w:rsidRPr="006B6723" w14:paraId="7528698F" w14:textId="2EE18630" w:rsidTr="0015490A">
        <w:trPr>
          <w:cnfStyle w:val="000000100000" w:firstRow="0" w:lastRow="0" w:firstColumn="0" w:lastColumn="0" w:oddVBand="0" w:evenVBand="0" w:oddHBand="1" w:evenHBand="0" w:firstRowFirstColumn="0" w:firstRowLastColumn="0" w:lastRowFirstColumn="0" w:lastRowLastColumn="0"/>
          <w:trHeight w:val="2133"/>
        </w:trPr>
        <w:tc>
          <w:tcPr>
            <w:tcW w:w="971" w:type="dxa"/>
            <w:tcBorders>
              <w:top w:val="single" w:sz="6" w:space="0" w:color="auto"/>
              <w:left w:val="single" w:sz="6" w:space="0" w:color="auto"/>
              <w:bottom w:val="single" w:sz="6" w:space="0" w:color="auto"/>
              <w:right w:val="single" w:sz="6" w:space="0" w:color="auto"/>
            </w:tcBorders>
            <w:tcMar>
              <w:left w:w="105" w:type="dxa"/>
              <w:right w:w="105" w:type="dxa"/>
            </w:tcMar>
          </w:tcPr>
          <w:p w14:paraId="30422541" w14:textId="11C823DD" w:rsidR="0015490A" w:rsidRPr="006B6723" w:rsidRDefault="0015490A" w:rsidP="00530A4C">
            <w:pPr>
              <w:spacing w:before="60" w:after="60" w:line="240" w:lineRule="auto"/>
              <w:jc w:val="center"/>
              <w:rPr>
                <w:rStyle w:val="normaltextrun"/>
                <w:rFonts w:eastAsia="Verdana" w:cs="Verdana"/>
                <w:sz w:val="20"/>
                <w:szCs w:val="20"/>
              </w:rPr>
            </w:pPr>
            <w:r w:rsidRPr="006B6723">
              <w:rPr>
                <w:rStyle w:val="normaltextrun"/>
                <w:rFonts w:eastAsia="Verdana" w:cs="Verdana"/>
                <w:sz w:val="20"/>
                <w:szCs w:val="20"/>
              </w:rPr>
              <w:t>3.3</w:t>
            </w:r>
          </w:p>
        </w:tc>
        <w:tc>
          <w:tcPr>
            <w:tcW w:w="5125" w:type="dxa"/>
            <w:tcBorders>
              <w:top w:val="single" w:sz="6" w:space="0" w:color="auto"/>
              <w:left w:val="single" w:sz="6" w:space="0" w:color="auto"/>
              <w:bottom w:val="single" w:sz="6" w:space="0" w:color="auto"/>
              <w:right w:val="single" w:sz="6" w:space="0" w:color="auto"/>
            </w:tcBorders>
            <w:tcMar>
              <w:left w:w="105" w:type="dxa"/>
              <w:right w:w="105" w:type="dxa"/>
            </w:tcMar>
          </w:tcPr>
          <w:p w14:paraId="086A0FAB" w14:textId="6DBCF129" w:rsidR="0015490A" w:rsidRPr="006B6723" w:rsidRDefault="0015490A" w:rsidP="00530A4C">
            <w:pPr>
              <w:spacing w:before="60" w:after="60" w:line="240" w:lineRule="auto"/>
              <w:rPr>
                <w:sz w:val="20"/>
              </w:rPr>
            </w:pPr>
            <w:r w:rsidRPr="006B6723">
              <w:rPr>
                <w:sz w:val="20"/>
              </w:rPr>
              <w:t xml:space="preserve">Building business resilience through: </w:t>
            </w:r>
          </w:p>
          <w:p w14:paraId="67E7D07C" w14:textId="510B256D" w:rsidR="0015490A" w:rsidRPr="006B6723" w:rsidRDefault="0015490A" w:rsidP="00FA5617">
            <w:pPr>
              <w:pStyle w:val="ListParagraph"/>
              <w:numPr>
                <w:ilvl w:val="0"/>
                <w:numId w:val="7"/>
              </w:numPr>
              <w:spacing w:before="60" w:after="60" w:line="240" w:lineRule="auto"/>
              <w:contextualSpacing w:val="0"/>
              <w:rPr>
                <w:sz w:val="20"/>
              </w:rPr>
            </w:pPr>
            <w:r w:rsidRPr="006B6723">
              <w:rPr>
                <w:sz w:val="20"/>
              </w:rPr>
              <w:t>enhancing disaster readiness and providing support before, during and after disasters by fostering partnerships to strengthen Australia’s capacity for disaster resilience and support communities</w:t>
            </w:r>
          </w:p>
          <w:p w14:paraId="749BED40" w14:textId="3FE84430" w:rsidR="0015490A" w:rsidRPr="006B6723" w:rsidRDefault="0015490A" w:rsidP="00FA5617">
            <w:pPr>
              <w:pStyle w:val="ListParagraph"/>
              <w:numPr>
                <w:ilvl w:val="0"/>
                <w:numId w:val="7"/>
              </w:numPr>
              <w:spacing w:before="60" w:after="60" w:line="240" w:lineRule="auto"/>
              <w:contextualSpacing w:val="0"/>
              <w:rPr>
                <w:sz w:val="20"/>
              </w:rPr>
            </w:pPr>
            <w:r w:rsidRPr="006B6723">
              <w:rPr>
                <w:sz w:val="20"/>
              </w:rPr>
              <w:t xml:space="preserve">services such as the Small Business Debt Helpline and the </w:t>
            </w:r>
            <w:proofErr w:type="spellStart"/>
            <w:r w:rsidRPr="006B6723">
              <w:rPr>
                <w:sz w:val="20"/>
              </w:rPr>
              <w:t>NewAccess</w:t>
            </w:r>
            <w:proofErr w:type="spellEnd"/>
            <w:r w:rsidRPr="006B6723">
              <w:rPr>
                <w:sz w:val="20"/>
              </w:rPr>
              <w:t xml:space="preserve"> for Small Business Owners program.</w:t>
            </w:r>
          </w:p>
        </w:tc>
        <w:tc>
          <w:tcPr>
            <w:tcW w:w="1984" w:type="dxa"/>
            <w:tcBorders>
              <w:top w:val="single" w:sz="6" w:space="0" w:color="auto"/>
              <w:left w:val="single" w:sz="6" w:space="0" w:color="auto"/>
              <w:bottom w:val="single" w:sz="6" w:space="0" w:color="auto"/>
              <w:right w:val="single" w:sz="6" w:space="0" w:color="auto"/>
            </w:tcBorders>
            <w:tcMar>
              <w:left w:w="105" w:type="dxa"/>
              <w:right w:w="105" w:type="dxa"/>
            </w:tcMar>
          </w:tcPr>
          <w:p w14:paraId="1CE9AAC3" w14:textId="7A31B0DB" w:rsidR="0015490A" w:rsidRPr="006B6723" w:rsidRDefault="0015490A" w:rsidP="00530A4C">
            <w:pPr>
              <w:spacing w:before="60" w:after="60" w:line="240" w:lineRule="auto"/>
              <w:rPr>
                <w:sz w:val="20"/>
              </w:rPr>
            </w:pPr>
            <w:r w:rsidRPr="006B6723">
              <w:rPr>
                <w:sz w:val="20"/>
              </w:rPr>
              <w:t>National Emergency Management Agency (NEMA), Treasury</w:t>
            </w:r>
          </w:p>
        </w:tc>
        <w:tc>
          <w:tcPr>
            <w:tcW w:w="5779" w:type="dxa"/>
            <w:tcBorders>
              <w:top w:val="single" w:sz="6" w:space="0" w:color="auto"/>
              <w:left w:val="single" w:sz="6" w:space="0" w:color="auto"/>
              <w:bottom w:val="single" w:sz="6" w:space="0" w:color="auto"/>
              <w:right w:val="single" w:sz="6" w:space="0" w:color="auto"/>
            </w:tcBorders>
          </w:tcPr>
          <w:p w14:paraId="57DEA195" w14:textId="611898BB" w:rsidR="0015490A" w:rsidRDefault="0015490A" w:rsidP="00530A4C">
            <w:pPr>
              <w:spacing w:before="60" w:after="60" w:line="240" w:lineRule="auto"/>
              <w:rPr>
                <w:rFonts w:eastAsia="Verdana" w:cs="Verdana"/>
                <w:sz w:val="20"/>
              </w:rPr>
            </w:pPr>
            <w:r>
              <w:rPr>
                <w:rFonts w:eastAsia="Verdana" w:cs="Verdana"/>
                <w:sz w:val="20"/>
              </w:rPr>
              <w:t xml:space="preserve">Austrade’s </w:t>
            </w:r>
            <w:r w:rsidRPr="003C1832">
              <w:rPr>
                <w:rFonts w:eastAsia="Verdana" w:cs="Verdana"/>
                <w:sz w:val="20"/>
              </w:rPr>
              <w:t>OTVE</w:t>
            </w:r>
            <w:r>
              <w:rPr>
                <w:rStyle w:val="normaltextrun"/>
                <w:rFonts w:eastAsia="Verdana" w:cs="Verdana"/>
                <w:sz w:val="20"/>
                <w:szCs w:val="20"/>
              </w:rPr>
              <w:t xml:space="preserve"> c</w:t>
            </w:r>
            <w:r w:rsidRPr="00437D61">
              <w:rPr>
                <w:rFonts w:eastAsia="Verdana" w:cs="Verdana"/>
                <w:sz w:val="20"/>
              </w:rPr>
              <w:t xml:space="preserve">ommenced </w:t>
            </w:r>
            <w:r>
              <w:rPr>
                <w:rFonts w:eastAsia="Verdana" w:cs="Verdana"/>
                <w:sz w:val="20"/>
              </w:rPr>
              <w:t xml:space="preserve">a </w:t>
            </w:r>
            <w:r w:rsidRPr="00437D61">
              <w:rPr>
                <w:rFonts w:eastAsia="Verdana" w:cs="Verdana"/>
                <w:sz w:val="20"/>
              </w:rPr>
              <w:t>consultation and procurement process for the development of a guidance manual/materials for Regional Tourism Organisations to build their capability in the prevention of, preparation for, response to, and recovery from natural disasters impacting their communities</w:t>
            </w:r>
            <w:r>
              <w:rPr>
                <w:rFonts w:eastAsia="Verdana" w:cs="Verdana"/>
                <w:sz w:val="20"/>
              </w:rPr>
              <w:t>.</w:t>
            </w:r>
          </w:p>
          <w:p w14:paraId="67CB5401" w14:textId="18C78742" w:rsidR="0015490A" w:rsidRDefault="0015490A" w:rsidP="00EF5A9D">
            <w:pPr>
              <w:spacing w:before="60" w:after="60" w:line="240" w:lineRule="auto"/>
              <w:rPr>
                <w:rFonts w:eastAsia="Verdana" w:cs="Verdana"/>
                <w:sz w:val="20"/>
              </w:rPr>
            </w:pPr>
            <w:r w:rsidRPr="00091CBB">
              <w:rPr>
                <w:rFonts w:eastAsia="Verdana" w:cs="Verdana"/>
                <w:sz w:val="20"/>
              </w:rPr>
              <w:t>From 1 July 2026, eligible small businesses can continue to access specialised financial counselling and mental health support</w:t>
            </w:r>
            <w:r>
              <w:rPr>
                <w:rFonts w:eastAsia="Verdana" w:cs="Verdana"/>
                <w:sz w:val="20"/>
              </w:rPr>
              <w:t xml:space="preserve"> under the Small Business Debt Helpline and </w:t>
            </w:r>
            <w:proofErr w:type="spellStart"/>
            <w:r>
              <w:rPr>
                <w:rFonts w:eastAsia="Verdana" w:cs="Verdana"/>
                <w:sz w:val="20"/>
              </w:rPr>
              <w:t>NewAccess</w:t>
            </w:r>
            <w:proofErr w:type="spellEnd"/>
            <w:r>
              <w:rPr>
                <w:rFonts w:eastAsia="Verdana" w:cs="Verdana"/>
                <w:sz w:val="20"/>
              </w:rPr>
              <w:t xml:space="preserve"> for Small Business Owners program respectively. </w:t>
            </w:r>
          </w:p>
          <w:p w14:paraId="3E3D2C22" w14:textId="71D49E1D" w:rsidR="0015490A" w:rsidRPr="006B6723" w:rsidRDefault="0015490A" w:rsidP="00530A4C">
            <w:pPr>
              <w:spacing w:before="60" w:after="60" w:line="240" w:lineRule="auto"/>
              <w:rPr>
                <w:rStyle w:val="normaltextrun"/>
                <w:rFonts w:eastAsia="Verdana" w:cs="Verdana"/>
                <w:sz w:val="20"/>
                <w:szCs w:val="20"/>
              </w:rPr>
            </w:pPr>
            <w:r w:rsidRPr="00B5422B">
              <w:rPr>
                <w:rFonts w:eastAsia="Verdana" w:cs="Verdana"/>
                <w:sz w:val="20"/>
              </w:rPr>
              <w:t xml:space="preserve">Under the </w:t>
            </w:r>
            <w:hyperlink r:id="rId30" w:history="1">
              <w:r w:rsidRPr="00B5422B">
                <w:rPr>
                  <w:rStyle w:val="Hyperlink"/>
                  <w:rFonts w:eastAsia="Verdana" w:cs="Verdana"/>
                  <w:sz w:val="20"/>
                </w:rPr>
                <w:t>Disaster Recovery Funding Arrangements</w:t>
              </w:r>
            </w:hyperlink>
            <w:r w:rsidRPr="00B5422B">
              <w:rPr>
                <w:rFonts w:eastAsia="Verdana" w:cs="Verdana"/>
                <w:sz w:val="20"/>
              </w:rPr>
              <w:t xml:space="preserve"> (DRFA), assistance may be provided to small businesses to assist in their recovery</w:t>
            </w:r>
            <w:r>
              <w:rPr>
                <w:rFonts w:eastAsia="Verdana" w:cs="Verdana"/>
                <w:sz w:val="20"/>
              </w:rPr>
              <w:t xml:space="preserve"> from disasters</w:t>
            </w:r>
            <w:r w:rsidRPr="00B5422B">
              <w:rPr>
                <w:rFonts w:eastAsia="Verdana" w:cs="Verdana"/>
                <w:sz w:val="20"/>
              </w:rPr>
              <w:t>.</w:t>
            </w:r>
          </w:p>
        </w:tc>
        <w:tc>
          <w:tcPr>
            <w:tcW w:w="5561" w:type="dxa"/>
            <w:tcBorders>
              <w:top w:val="single" w:sz="6" w:space="0" w:color="auto"/>
              <w:left w:val="single" w:sz="6" w:space="0" w:color="auto"/>
              <w:bottom w:val="single" w:sz="6" w:space="0" w:color="auto"/>
              <w:right w:val="single" w:sz="6" w:space="0" w:color="auto"/>
            </w:tcBorders>
          </w:tcPr>
          <w:p w14:paraId="4EF2E2BD" w14:textId="3E104F16" w:rsidR="0015490A" w:rsidRDefault="0015490A" w:rsidP="00086457">
            <w:pPr>
              <w:spacing w:before="60" w:after="60" w:line="240" w:lineRule="auto"/>
              <w:rPr>
                <w:rFonts w:eastAsia="Verdana" w:cs="Verdana"/>
                <w:sz w:val="20"/>
              </w:rPr>
            </w:pPr>
            <w:r>
              <w:rPr>
                <w:rFonts w:eastAsia="Verdana" w:cs="Verdana"/>
                <w:sz w:val="20"/>
              </w:rPr>
              <w:t xml:space="preserve">OTVE is undertaking a procurement to engage a supplier to support the natural disaster guidance development work for Regional Tourism Organisations and Local organisations. </w:t>
            </w:r>
            <w:r w:rsidRPr="00E43B64">
              <w:rPr>
                <w:rFonts w:eastAsia="Verdana" w:cs="Verdana"/>
                <w:sz w:val="20"/>
              </w:rPr>
              <w:t xml:space="preserve">The </w:t>
            </w:r>
            <w:r>
              <w:rPr>
                <w:rFonts w:eastAsia="Verdana" w:cs="Verdana"/>
                <w:sz w:val="20"/>
              </w:rPr>
              <w:t xml:space="preserve">competitive tender process </w:t>
            </w:r>
            <w:r w:rsidRPr="00E43B64">
              <w:rPr>
                <w:rFonts w:eastAsia="Verdana" w:cs="Verdana"/>
                <w:sz w:val="20"/>
              </w:rPr>
              <w:t>open</w:t>
            </w:r>
            <w:r>
              <w:rPr>
                <w:rFonts w:eastAsia="Verdana" w:cs="Verdana"/>
                <w:sz w:val="20"/>
              </w:rPr>
              <w:t>ed in October 2026</w:t>
            </w:r>
            <w:r w:rsidRPr="00E43B64">
              <w:rPr>
                <w:rFonts w:eastAsia="Verdana" w:cs="Verdana"/>
                <w:sz w:val="20"/>
              </w:rPr>
              <w:t>,</w:t>
            </w:r>
            <w:r>
              <w:rPr>
                <w:rFonts w:eastAsia="Verdana" w:cs="Verdana"/>
                <w:sz w:val="20"/>
              </w:rPr>
              <w:t xml:space="preserve"> and the project will be delivered by June 2027.</w:t>
            </w:r>
          </w:p>
          <w:p w14:paraId="785A73EF" w14:textId="77777777" w:rsidR="0015490A" w:rsidRDefault="0015490A" w:rsidP="00A152AD">
            <w:pPr>
              <w:spacing w:before="60" w:after="60" w:line="240" w:lineRule="auto"/>
              <w:rPr>
                <w:rFonts w:eastAsia="Verdana" w:cs="Verdana"/>
                <w:sz w:val="20"/>
              </w:rPr>
            </w:pPr>
            <w:r>
              <w:rPr>
                <w:rFonts w:eastAsia="Verdana" w:cs="Verdana"/>
                <w:sz w:val="20"/>
              </w:rPr>
              <w:t>Following extensive consultation</w:t>
            </w:r>
            <w:r w:rsidRPr="00F12A16">
              <w:rPr>
                <w:rFonts w:eastAsia="Verdana" w:cs="Verdana"/>
                <w:sz w:val="20"/>
              </w:rPr>
              <w:t xml:space="preserve"> with councils and disaster-affected communities across Australia</w:t>
            </w:r>
            <w:r>
              <w:rPr>
                <w:rFonts w:eastAsia="Verdana" w:cs="Verdana"/>
                <w:sz w:val="20"/>
              </w:rPr>
              <w:t xml:space="preserve">, on 9 October 2026 the </w:t>
            </w:r>
            <w:hyperlink r:id="rId31" w:history="1">
              <w:r w:rsidRPr="008703ED">
                <w:rPr>
                  <w:rStyle w:val="Hyperlink"/>
                  <w:rFonts w:eastAsia="Verdana" w:cs="Verdana"/>
                  <w:sz w:val="20"/>
                </w:rPr>
                <w:t>Australian Government announced</w:t>
              </w:r>
            </w:hyperlink>
            <w:r>
              <w:rPr>
                <w:rFonts w:eastAsia="Verdana" w:cs="Verdana"/>
                <w:sz w:val="20"/>
              </w:rPr>
              <w:t xml:space="preserve"> </w:t>
            </w:r>
            <w:r w:rsidRPr="00F12A16">
              <w:rPr>
                <w:rFonts w:eastAsia="Verdana" w:cs="Verdana"/>
                <w:sz w:val="20"/>
              </w:rPr>
              <w:t xml:space="preserve">changes to its proposed disaster recovery funding reforms. </w:t>
            </w:r>
          </w:p>
          <w:p w14:paraId="7959F84B" w14:textId="77777777" w:rsidR="0015490A" w:rsidRPr="0064442B" w:rsidRDefault="0015490A" w:rsidP="0064442B">
            <w:pPr>
              <w:pStyle w:val="ListParagraph"/>
              <w:numPr>
                <w:ilvl w:val="0"/>
                <w:numId w:val="24"/>
              </w:numPr>
              <w:spacing w:before="60" w:after="60" w:line="240" w:lineRule="auto"/>
              <w:rPr>
                <w:rFonts w:eastAsia="Verdana" w:cs="Verdana"/>
                <w:sz w:val="20"/>
              </w:rPr>
            </w:pPr>
            <w:r w:rsidRPr="0064442B">
              <w:rPr>
                <w:rFonts w:eastAsia="Verdana" w:cs="Verdana"/>
                <w:sz w:val="20"/>
              </w:rPr>
              <w:t xml:space="preserve">Key changes include that the current disaster recovery cost-sharing arrangements will be retained, councils will continue to be able to claim costs for Counter Disaster Operations, and funding activation thresholds will be revised to ensure communities can access support more easily and promptly after disasters. </w:t>
            </w:r>
          </w:p>
          <w:p w14:paraId="4BD2E859" w14:textId="63DB9117" w:rsidR="0015490A" w:rsidRPr="006B6723" w:rsidRDefault="0015490A" w:rsidP="0064442B">
            <w:pPr>
              <w:pStyle w:val="ListParagraph"/>
              <w:numPr>
                <w:ilvl w:val="0"/>
                <w:numId w:val="24"/>
              </w:numPr>
              <w:spacing w:before="60" w:after="60" w:line="240" w:lineRule="auto"/>
              <w:rPr>
                <w:rStyle w:val="normaltextrun"/>
                <w:rFonts w:eastAsia="Verdana" w:cs="Verdana"/>
                <w:sz w:val="20"/>
                <w:szCs w:val="20"/>
              </w:rPr>
            </w:pPr>
            <w:r w:rsidRPr="0064442B">
              <w:rPr>
                <w:rFonts w:eastAsia="Verdana" w:cs="Verdana"/>
                <w:sz w:val="20"/>
              </w:rPr>
              <w:t>The new framework responds to recommendations from the Independent Review of Commonwealth Disaster Funding.</w:t>
            </w:r>
          </w:p>
        </w:tc>
      </w:tr>
      <w:tr w:rsidR="0015490A" w:rsidRPr="006B6723" w14:paraId="05B4110B" w14:textId="1A670508" w:rsidTr="0015490A">
        <w:trPr>
          <w:trHeight w:val="920"/>
        </w:trPr>
        <w:tc>
          <w:tcPr>
            <w:tcW w:w="971" w:type="dxa"/>
            <w:tcBorders>
              <w:top w:val="single" w:sz="6" w:space="0" w:color="auto"/>
              <w:left w:val="single" w:sz="6" w:space="0" w:color="auto"/>
              <w:bottom w:val="single" w:sz="6" w:space="0" w:color="auto"/>
              <w:right w:val="single" w:sz="6" w:space="0" w:color="auto"/>
            </w:tcBorders>
            <w:tcMar>
              <w:left w:w="105" w:type="dxa"/>
              <w:right w:w="105" w:type="dxa"/>
            </w:tcMar>
          </w:tcPr>
          <w:p w14:paraId="30CD27EB" w14:textId="22EDF172" w:rsidR="0015490A" w:rsidRPr="006B6723" w:rsidRDefault="0015490A" w:rsidP="00530A4C">
            <w:pPr>
              <w:spacing w:before="60" w:after="60" w:line="240" w:lineRule="auto"/>
              <w:jc w:val="center"/>
              <w:rPr>
                <w:rStyle w:val="normaltextrun"/>
                <w:rFonts w:eastAsia="Verdana" w:cs="Verdana"/>
                <w:sz w:val="20"/>
                <w:szCs w:val="20"/>
              </w:rPr>
            </w:pPr>
            <w:r w:rsidRPr="006B6723">
              <w:rPr>
                <w:rStyle w:val="normaltextrun"/>
                <w:rFonts w:eastAsia="Verdana" w:cs="Verdana"/>
                <w:sz w:val="20"/>
                <w:szCs w:val="20"/>
              </w:rPr>
              <w:t>3.4</w:t>
            </w:r>
          </w:p>
        </w:tc>
        <w:tc>
          <w:tcPr>
            <w:tcW w:w="5125" w:type="dxa"/>
            <w:tcBorders>
              <w:top w:val="single" w:sz="6" w:space="0" w:color="auto"/>
              <w:left w:val="single" w:sz="6" w:space="0" w:color="auto"/>
              <w:bottom w:val="single" w:sz="6" w:space="0" w:color="auto"/>
              <w:right w:val="single" w:sz="6" w:space="0" w:color="auto"/>
            </w:tcBorders>
            <w:tcMar>
              <w:left w:w="105" w:type="dxa"/>
              <w:right w:w="105" w:type="dxa"/>
            </w:tcMar>
          </w:tcPr>
          <w:p w14:paraId="49812DAC" w14:textId="76CC92F1" w:rsidR="0015490A" w:rsidRPr="006B6723" w:rsidRDefault="0015490A" w:rsidP="00530A4C">
            <w:pPr>
              <w:spacing w:before="60" w:after="60" w:line="240" w:lineRule="auto"/>
              <w:rPr>
                <w:sz w:val="20"/>
              </w:rPr>
            </w:pPr>
            <w:r w:rsidRPr="006B6723">
              <w:rPr>
                <w:sz w:val="20"/>
              </w:rPr>
              <w:t xml:space="preserve">Encouraging tourism businesses to modernise, improve digital literacy and embrace emerging technologies, including AI, through programs such as the Australian Small Business Advisory Services - Digital Solutions program and utilising the </w:t>
            </w:r>
            <w:proofErr w:type="spellStart"/>
            <w:r w:rsidRPr="006B6723">
              <w:rPr>
                <w:sz w:val="20"/>
              </w:rPr>
              <w:t>eeger</w:t>
            </w:r>
            <w:proofErr w:type="spellEnd"/>
            <w:r w:rsidRPr="006B6723">
              <w:rPr>
                <w:sz w:val="20"/>
              </w:rPr>
              <w:t xml:space="preserve"> platform for visitor economy jobseekers.</w:t>
            </w:r>
          </w:p>
        </w:tc>
        <w:tc>
          <w:tcPr>
            <w:tcW w:w="1984" w:type="dxa"/>
            <w:tcBorders>
              <w:top w:val="single" w:sz="6" w:space="0" w:color="auto"/>
              <w:left w:val="single" w:sz="6" w:space="0" w:color="auto"/>
              <w:bottom w:val="single" w:sz="6" w:space="0" w:color="auto"/>
              <w:right w:val="single" w:sz="6" w:space="0" w:color="auto"/>
            </w:tcBorders>
            <w:tcMar>
              <w:left w:w="105" w:type="dxa"/>
              <w:right w:w="105" w:type="dxa"/>
            </w:tcMar>
          </w:tcPr>
          <w:p w14:paraId="7BC20E60" w14:textId="3E00D2B6" w:rsidR="0015490A" w:rsidRPr="006B6723" w:rsidRDefault="0015490A" w:rsidP="00530A4C">
            <w:pPr>
              <w:spacing w:before="60" w:after="60" w:line="240" w:lineRule="auto"/>
              <w:rPr>
                <w:sz w:val="20"/>
              </w:rPr>
            </w:pPr>
            <w:r w:rsidRPr="006B6723">
              <w:rPr>
                <w:sz w:val="20"/>
              </w:rPr>
              <w:t>Austrade, Treasury</w:t>
            </w:r>
          </w:p>
        </w:tc>
        <w:tc>
          <w:tcPr>
            <w:tcW w:w="5779" w:type="dxa"/>
            <w:tcBorders>
              <w:top w:val="single" w:sz="6" w:space="0" w:color="auto"/>
              <w:left w:val="single" w:sz="6" w:space="0" w:color="auto"/>
              <w:bottom w:val="single" w:sz="6" w:space="0" w:color="auto"/>
              <w:right w:val="single" w:sz="6" w:space="0" w:color="auto"/>
            </w:tcBorders>
          </w:tcPr>
          <w:p w14:paraId="43AAA0CE" w14:textId="6C9393C0" w:rsidR="0015490A" w:rsidRDefault="0015490A" w:rsidP="00530A4C">
            <w:pPr>
              <w:spacing w:before="60" w:after="60" w:line="240" w:lineRule="auto"/>
              <w:rPr>
                <w:rStyle w:val="normaltextrun"/>
                <w:rFonts w:eastAsia="Verdana" w:cs="Verdana"/>
                <w:sz w:val="20"/>
                <w:szCs w:val="20"/>
              </w:rPr>
            </w:pPr>
            <w:r w:rsidRPr="006B6723">
              <w:rPr>
                <w:rStyle w:val="normaltextrun"/>
                <w:rFonts w:eastAsia="Verdana" w:cs="Verdana"/>
                <w:sz w:val="20"/>
                <w:szCs w:val="20"/>
              </w:rPr>
              <w:t xml:space="preserve">Additional funding for the Australian Tourism Industry Council (ATIC) was </w:t>
            </w:r>
            <w:hyperlink r:id="rId32" w:history="1">
              <w:r w:rsidRPr="000F2028">
                <w:rPr>
                  <w:rStyle w:val="Hyperlink"/>
                  <w:rFonts w:eastAsia="Verdana" w:cs="Verdana"/>
                  <w:sz w:val="20"/>
                </w:rPr>
                <w:t>announced in the 2026-27 Federal Budget</w:t>
              </w:r>
            </w:hyperlink>
            <w:r w:rsidRPr="006B6723">
              <w:rPr>
                <w:rStyle w:val="normaltextrun"/>
                <w:rFonts w:eastAsia="Verdana" w:cs="Verdana"/>
                <w:sz w:val="20"/>
                <w:szCs w:val="20"/>
              </w:rPr>
              <w:t xml:space="preserve"> to support small businesses through the </w:t>
            </w:r>
            <w:hyperlink r:id="rId33" w:anchor="ref3" w:history="1">
              <w:r w:rsidRPr="00151CFD">
                <w:rPr>
                  <w:rStyle w:val="Hyperlink"/>
                  <w:rFonts w:eastAsia="Verdana" w:cs="Verdana"/>
                  <w:sz w:val="20"/>
                </w:rPr>
                <w:t>Quality Tourism Framework</w:t>
              </w:r>
            </w:hyperlink>
            <w:r w:rsidRPr="006B6723">
              <w:rPr>
                <w:rStyle w:val="normaltextrun"/>
                <w:rFonts w:eastAsia="Verdana" w:cs="Verdana"/>
                <w:sz w:val="20"/>
                <w:szCs w:val="20"/>
              </w:rPr>
              <w:t>.</w:t>
            </w:r>
            <w:r>
              <w:rPr>
                <w:rStyle w:val="normaltextrun"/>
                <w:rFonts w:eastAsia="Verdana" w:cs="Verdana"/>
                <w:sz w:val="20"/>
                <w:szCs w:val="20"/>
              </w:rPr>
              <w:t xml:space="preserve"> </w:t>
            </w:r>
            <w:r w:rsidRPr="000656E9">
              <w:rPr>
                <w:rStyle w:val="normaltextrun"/>
                <w:rFonts w:eastAsia="Verdana" w:cs="Verdana"/>
                <w:sz w:val="20"/>
                <w:szCs w:val="20"/>
              </w:rPr>
              <w:t>A new grant agreement with ATIC was signed in July 2026.</w:t>
            </w:r>
          </w:p>
          <w:p w14:paraId="656AD164" w14:textId="1C5966C2" w:rsidR="0015490A" w:rsidRPr="006B6723" w:rsidRDefault="0015490A" w:rsidP="00530A4C">
            <w:pPr>
              <w:spacing w:before="60" w:after="60" w:line="240" w:lineRule="auto"/>
              <w:rPr>
                <w:rStyle w:val="normaltextrun"/>
                <w:rFonts w:eastAsia="Verdana" w:cs="Verdana"/>
                <w:sz w:val="20"/>
                <w:szCs w:val="20"/>
              </w:rPr>
            </w:pPr>
            <w:r w:rsidRPr="006B6723">
              <w:rPr>
                <w:rStyle w:val="normaltextrun"/>
                <w:rFonts w:eastAsia="Verdana" w:cs="Verdana"/>
                <w:sz w:val="20"/>
                <w:szCs w:val="20"/>
              </w:rPr>
              <w:t>Service delivery for Round 3 of the Digital Solutions program commence</w:t>
            </w:r>
            <w:r>
              <w:rPr>
                <w:rStyle w:val="normaltextrun"/>
                <w:rFonts w:eastAsia="Verdana" w:cs="Verdana"/>
                <w:sz w:val="20"/>
                <w:szCs w:val="20"/>
              </w:rPr>
              <w:t xml:space="preserve">d </w:t>
            </w:r>
            <w:r w:rsidRPr="006B6723">
              <w:rPr>
                <w:rStyle w:val="normaltextrun"/>
                <w:rFonts w:eastAsia="Verdana" w:cs="Verdana"/>
                <w:sz w:val="20"/>
                <w:szCs w:val="20"/>
              </w:rPr>
              <w:t>on 1 July 2026</w:t>
            </w:r>
            <w:r>
              <w:rPr>
                <w:rStyle w:val="normaltextrun"/>
                <w:rFonts w:eastAsia="Verdana" w:cs="Verdana"/>
                <w:sz w:val="20"/>
                <w:szCs w:val="20"/>
              </w:rPr>
              <w:t xml:space="preserve"> and will conclude on 29 March 2030. </w:t>
            </w:r>
            <w:r w:rsidRPr="00DF3CCE">
              <w:rPr>
                <w:rStyle w:val="normaltextrun"/>
                <w:rFonts w:eastAsia="Verdana" w:cs="Verdana"/>
                <w:sz w:val="20"/>
                <w:szCs w:val="20"/>
              </w:rPr>
              <w:t xml:space="preserve">From 1 July 2026, eligible businesses can access free workshops, webinars, and self-directed tutorials through the </w:t>
            </w:r>
            <w:hyperlink r:id="rId34" w:history="1">
              <w:r w:rsidRPr="000943FE">
                <w:rPr>
                  <w:rStyle w:val="Hyperlink"/>
                  <w:rFonts w:eastAsia="Verdana" w:cs="Verdana"/>
                  <w:sz w:val="20"/>
                </w:rPr>
                <w:t>Digital Solutions Program</w:t>
              </w:r>
            </w:hyperlink>
            <w:r w:rsidRPr="00DF3CCE">
              <w:rPr>
                <w:rStyle w:val="normaltextrun"/>
                <w:rFonts w:eastAsia="Verdana" w:cs="Verdana"/>
                <w:sz w:val="20"/>
                <w:szCs w:val="20"/>
              </w:rPr>
              <w:t>. They can also access up to five hours of one-on-one digital advice from a qualified and experienced business adviser for a small fee.</w:t>
            </w:r>
          </w:p>
        </w:tc>
        <w:tc>
          <w:tcPr>
            <w:tcW w:w="5561" w:type="dxa"/>
            <w:tcBorders>
              <w:top w:val="single" w:sz="6" w:space="0" w:color="auto"/>
              <w:left w:val="single" w:sz="6" w:space="0" w:color="auto"/>
              <w:bottom w:val="single" w:sz="6" w:space="0" w:color="auto"/>
              <w:right w:val="single" w:sz="6" w:space="0" w:color="auto"/>
            </w:tcBorders>
          </w:tcPr>
          <w:p w14:paraId="48D4C3C9" w14:textId="5651AEF4" w:rsidR="0015490A" w:rsidRPr="000656E9" w:rsidRDefault="0015490A" w:rsidP="00C5094A">
            <w:pPr>
              <w:spacing w:before="60" w:after="60" w:line="240" w:lineRule="auto"/>
              <w:rPr>
                <w:rStyle w:val="normaltextrun"/>
                <w:rFonts w:eastAsia="Verdana" w:cs="Verdana"/>
                <w:sz w:val="20"/>
                <w:szCs w:val="20"/>
              </w:rPr>
            </w:pPr>
            <w:r>
              <w:rPr>
                <w:rStyle w:val="normaltextrun"/>
                <w:rFonts w:eastAsia="Verdana" w:cs="Verdana"/>
                <w:sz w:val="20"/>
                <w:szCs w:val="20"/>
              </w:rPr>
              <w:t>The first progress report for the additional funding provided to ATIC will be submitted mid-November 2026</w:t>
            </w:r>
            <w:r w:rsidRPr="000656E9">
              <w:rPr>
                <w:rStyle w:val="normaltextrun"/>
                <w:rFonts w:eastAsia="Verdana" w:cs="Verdana"/>
                <w:sz w:val="20"/>
                <w:szCs w:val="20"/>
              </w:rPr>
              <w:t>.</w:t>
            </w:r>
          </w:p>
          <w:p w14:paraId="771B97A1" w14:textId="77777777" w:rsidR="0015490A" w:rsidRDefault="0015490A" w:rsidP="00530A4C">
            <w:pPr>
              <w:spacing w:before="60" w:after="60" w:line="240" w:lineRule="auto"/>
              <w:rPr>
                <w:rStyle w:val="normaltextrun"/>
                <w:rFonts w:eastAsia="Verdana" w:cs="Verdana"/>
                <w:sz w:val="20"/>
                <w:szCs w:val="20"/>
              </w:rPr>
            </w:pPr>
            <w:r w:rsidRPr="000656E9">
              <w:rPr>
                <w:rStyle w:val="normaltextrun"/>
                <w:rFonts w:eastAsia="Verdana" w:cs="Verdana"/>
                <w:sz w:val="20"/>
                <w:szCs w:val="20"/>
              </w:rPr>
              <w:t xml:space="preserve">Through the Digital Solutions program, eligible businesses will get access to free workshops and webinars throughout the second half of 2026. </w:t>
            </w:r>
          </w:p>
          <w:p w14:paraId="4DEFDB12" w14:textId="2F0D6020" w:rsidR="0015490A" w:rsidRPr="006B6723" w:rsidRDefault="0015490A" w:rsidP="00053A12">
            <w:pPr>
              <w:spacing w:before="60" w:after="60" w:line="240" w:lineRule="auto"/>
              <w:rPr>
                <w:rStyle w:val="normaltextrun"/>
                <w:rFonts w:eastAsia="Verdana" w:cs="Verdana"/>
                <w:sz w:val="20"/>
                <w:szCs w:val="20"/>
              </w:rPr>
            </w:pPr>
          </w:p>
        </w:tc>
      </w:tr>
      <w:tr w:rsidR="0015490A" w:rsidRPr="006B6723" w14:paraId="0D11A067" w14:textId="05634AF4" w:rsidTr="0015490A">
        <w:trPr>
          <w:cnfStyle w:val="000000100000" w:firstRow="0" w:lastRow="0" w:firstColumn="0" w:lastColumn="0" w:oddVBand="0" w:evenVBand="0" w:oddHBand="1" w:evenHBand="0" w:firstRowFirstColumn="0" w:firstRowLastColumn="0" w:lastRowFirstColumn="0" w:lastRowLastColumn="0"/>
          <w:trHeight w:val="672"/>
        </w:trPr>
        <w:tc>
          <w:tcPr>
            <w:tcW w:w="971" w:type="dxa"/>
            <w:tcBorders>
              <w:top w:val="single" w:sz="6" w:space="0" w:color="auto"/>
              <w:left w:val="single" w:sz="6" w:space="0" w:color="auto"/>
              <w:bottom w:val="single" w:sz="6" w:space="0" w:color="auto"/>
              <w:right w:val="single" w:sz="6" w:space="0" w:color="auto"/>
            </w:tcBorders>
            <w:tcMar>
              <w:left w:w="105" w:type="dxa"/>
              <w:right w:w="105" w:type="dxa"/>
            </w:tcMar>
          </w:tcPr>
          <w:p w14:paraId="177C8DDE" w14:textId="1EF6D69C" w:rsidR="0015490A" w:rsidRPr="006B6723" w:rsidRDefault="0015490A" w:rsidP="00530A4C">
            <w:pPr>
              <w:spacing w:before="60" w:after="60" w:line="240" w:lineRule="auto"/>
              <w:jc w:val="center"/>
              <w:rPr>
                <w:rStyle w:val="normaltextrun"/>
                <w:rFonts w:eastAsia="Verdana" w:cs="Verdana"/>
                <w:sz w:val="20"/>
                <w:szCs w:val="20"/>
              </w:rPr>
            </w:pPr>
            <w:r w:rsidRPr="006B6723">
              <w:rPr>
                <w:rStyle w:val="normaltextrun"/>
                <w:rFonts w:eastAsia="Verdana" w:cs="Verdana"/>
                <w:sz w:val="20"/>
                <w:szCs w:val="20"/>
              </w:rPr>
              <w:lastRenderedPageBreak/>
              <w:t>3.5</w:t>
            </w:r>
          </w:p>
        </w:tc>
        <w:tc>
          <w:tcPr>
            <w:tcW w:w="5125" w:type="dxa"/>
            <w:tcBorders>
              <w:top w:val="single" w:sz="6" w:space="0" w:color="auto"/>
              <w:left w:val="single" w:sz="6" w:space="0" w:color="auto"/>
              <w:bottom w:val="single" w:sz="6" w:space="0" w:color="auto"/>
              <w:right w:val="single" w:sz="6" w:space="0" w:color="auto"/>
            </w:tcBorders>
            <w:tcMar>
              <w:left w:w="105" w:type="dxa"/>
              <w:right w:w="105" w:type="dxa"/>
            </w:tcMar>
          </w:tcPr>
          <w:p w14:paraId="205B4488" w14:textId="3D5E356E" w:rsidR="0015490A" w:rsidRPr="006B6723" w:rsidRDefault="0015490A" w:rsidP="00530A4C">
            <w:pPr>
              <w:spacing w:before="60" w:after="60" w:line="240" w:lineRule="auto"/>
              <w:rPr>
                <w:sz w:val="20"/>
              </w:rPr>
            </w:pPr>
            <w:r w:rsidRPr="006B6723">
              <w:rPr>
                <w:sz w:val="20"/>
              </w:rPr>
              <w:t>Continuing to work with governments and industry to examine insurance accessibility and affordability challenges to inform government policy consideration and business strategies.</w:t>
            </w:r>
          </w:p>
        </w:tc>
        <w:tc>
          <w:tcPr>
            <w:tcW w:w="1984" w:type="dxa"/>
            <w:tcBorders>
              <w:top w:val="single" w:sz="6" w:space="0" w:color="auto"/>
              <w:left w:val="single" w:sz="6" w:space="0" w:color="auto"/>
              <w:bottom w:val="single" w:sz="6" w:space="0" w:color="auto"/>
              <w:right w:val="single" w:sz="6" w:space="0" w:color="auto"/>
            </w:tcBorders>
            <w:tcMar>
              <w:left w:w="105" w:type="dxa"/>
              <w:right w:w="105" w:type="dxa"/>
            </w:tcMar>
          </w:tcPr>
          <w:p w14:paraId="6860E8CD" w14:textId="2505379A" w:rsidR="0015490A" w:rsidRPr="006B6723" w:rsidRDefault="0015490A" w:rsidP="00530A4C">
            <w:pPr>
              <w:spacing w:before="60" w:after="60" w:line="240" w:lineRule="auto"/>
              <w:rPr>
                <w:sz w:val="20"/>
              </w:rPr>
            </w:pPr>
            <w:r w:rsidRPr="006B6723">
              <w:rPr>
                <w:sz w:val="20"/>
              </w:rPr>
              <w:t xml:space="preserve">Treasury </w:t>
            </w:r>
            <w:r w:rsidRPr="006B6723">
              <w:rPr>
                <w:i/>
                <w:iCs/>
                <w:sz w:val="20"/>
              </w:rPr>
              <w:t>(Austrade)</w:t>
            </w:r>
          </w:p>
        </w:tc>
        <w:tc>
          <w:tcPr>
            <w:tcW w:w="5779" w:type="dxa"/>
            <w:tcBorders>
              <w:top w:val="single" w:sz="6" w:space="0" w:color="auto"/>
              <w:left w:val="single" w:sz="6" w:space="0" w:color="auto"/>
              <w:bottom w:val="single" w:sz="6" w:space="0" w:color="auto"/>
              <w:right w:val="single" w:sz="6" w:space="0" w:color="auto"/>
            </w:tcBorders>
          </w:tcPr>
          <w:p w14:paraId="712F52BB" w14:textId="0EC82B08" w:rsidR="0015490A" w:rsidRPr="006B6723" w:rsidRDefault="0015490A" w:rsidP="00530A4C">
            <w:pPr>
              <w:spacing w:before="60" w:after="60" w:line="240" w:lineRule="auto"/>
              <w:rPr>
                <w:rStyle w:val="normaltextrun"/>
                <w:rFonts w:eastAsia="Verdana" w:cs="Verdana"/>
                <w:sz w:val="20"/>
                <w:szCs w:val="20"/>
              </w:rPr>
            </w:pPr>
            <w:r w:rsidRPr="006B6723">
              <w:rPr>
                <w:rStyle w:val="normaltextrun"/>
                <w:rFonts w:eastAsia="Verdana" w:cs="Verdana"/>
                <w:sz w:val="20"/>
                <w:szCs w:val="20"/>
              </w:rPr>
              <w:t xml:space="preserve">Treasury continued to monitor the business insurance market and examine issues relating to affordability and accessibility. </w:t>
            </w:r>
          </w:p>
          <w:p w14:paraId="48DA0517" w14:textId="77777777" w:rsidR="0015490A" w:rsidRDefault="0015490A" w:rsidP="00FA5617">
            <w:pPr>
              <w:pStyle w:val="ListParagraph"/>
              <w:numPr>
                <w:ilvl w:val="0"/>
                <w:numId w:val="14"/>
              </w:numPr>
              <w:spacing w:before="60" w:after="60" w:line="240" w:lineRule="auto"/>
              <w:rPr>
                <w:sz w:val="20"/>
              </w:rPr>
            </w:pPr>
            <w:r w:rsidRPr="003A6897">
              <w:rPr>
                <w:sz w:val="20"/>
              </w:rPr>
              <w:t>Treasury made a submission to the Parliamentary Joint Committee on Corporations and Financial Services (PJC) inquiry into the provision, regulation and pricing of modern insurance products for small businesses and not-for-profit and community organisations operating in Australia.</w:t>
            </w:r>
            <w:r w:rsidRPr="373D2F29">
              <w:rPr>
                <w:sz w:val="20"/>
              </w:rPr>
              <w:t xml:space="preserve"> </w:t>
            </w:r>
          </w:p>
          <w:p w14:paraId="09EB55BF" w14:textId="4483D0BA" w:rsidR="0015490A" w:rsidRPr="00F44AFB" w:rsidRDefault="0015490A" w:rsidP="00F44AFB">
            <w:pPr>
              <w:pStyle w:val="ListParagraph"/>
              <w:numPr>
                <w:ilvl w:val="0"/>
                <w:numId w:val="14"/>
              </w:numPr>
              <w:spacing w:before="60" w:after="60" w:line="240" w:lineRule="auto"/>
              <w:rPr>
                <w:rStyle w:val="normaltextrun"/>
                <w:sz w:val="20"/>
                <w:szCs w:val="20"/>
              </w:rPr>
            </w:pPr>
            <w:r>
              <w:rPr>
                <w:sz w:val="20"/>
              </w:rPr>
              <w:t xml:space="preserve">The </w:t>
            </w:r>
            <w:hyperlink r:id="rId35" w:history="1">
              <w:r w:rsidRPr="00B054B3">
                <w:rPr>
                  <w:rStyle w:val="Hyperlink"/>
                  <w:sz w:val="20"/>
                </w:rPr>
                <w:t>submission</w:t>
              </w:r>
            </w:hyperlink>
            <w:r>
              <w:rPr>
                <w:sz w:val="20"/>
              </w:rPr>
              <w:t xml:space="preserve"> was made public on 11 September 2026.</w:t>
            </w:r>
          </w:p>
        </w:tc>
        <w:tc>
          <w:tcPr>
            <w:tcW w:w="5561" w:type="dxa"/>
            <w:tcBorders>
              <w:top w:val="single" w:sz="6" w:space="0" w:color="auto"/>
              <w:left w:val="single" w:sz="6" w:space="0" w:color="auto"/>
              <w:bottom w:val="single" w:sz="6" w:space="0" w:color="auto"/>
              <w:right w:val="single" w:sz="6" w:space="0" w:color="auto"/>
            </w:tcBorders>
          </w:tcPr>
          <w:p w14:paraId="38A02BD7" w14:textId="77777777" w:rsidR="0015490A" w:rsidRDefault="0015490A" w:rsidP="0022201E">
            <w:pPr>
              <w:spacing w:before="60" w:after="60" w:line="240" w:lineRule="auto"/>
              <w:rPr>
                <w:sz w:val="20"/>
              </w:rPr>
            </w:pPr>
            <w:r w:rsidRPr="00BF53AB">
              <w:rPr>
                <w:sz w:val="20"/>
              </w:rPr>
              <w:t>Treasury will monitor the outcomes of the PJC inquiry, including publication of its final report due 27 October 2026.</w:t>
            </w:r>
            <w:r>
              <w:rPr>
                <w:sz w:val="20"/>
              </w:rPr>
              <w:t xml:space="preserve"> </w:t>
            </w:r>
          </w:p>
          <w:p w14:paraId="24452E65" w14:textId="18F185FC" w:rsidR="0015490A" w:rsidRPr="006B6723" w:rsidRDefault="0015490A" w:rsidP="00530A4C">
            <w:pPr>
              <w:spacing w:before="60" w:after="60" w:line="240" w:lineRule="auto"/>
              <w:rPr>
                <w:rStyle w:val="normaltextrun"/>
                <w:rFonts w:eastAsia="Verdana" w:cs="Verdana"/>
                <w:sz w:val="20"/>
                <w:szCs w:val="20"/>
              </w:rPr>
            </w:pPr>
            <w:r>
              <w:rPr>
                <w:rStyle w:val="normaltextrun"/>
                <w:rFonts w:eastAsia="Verdana" w:cs="Verdana"/>
                <w:sz w:val="20"/>
                <w:szCs w:val="20"/>
              </w:rPr>
              <w:t xml:space="preserve">An Austrade sponsored PhD student from Griffith University is providing a draft on 17 October 2026 and is expected to </w:t>
            </w:r>
            <w:r w:rsidRPr="373D2F29">
              <w:rPr>
                <w:rStyle w:val="normaltextrun"/>
                <w:rFonts w:eastAsia="Verdana" w:cs="Verdana"/>
                <w:sz w:val="20"/>
                <w:szCs w:val="20"/>
              </w:rPr>
              <w:t>publicly</w:t>
            </w:r>
            <w:r>
              <w:rPr>
                <w:rStyle w:val="normaltextrun"/>
                <w:rFonts w:eastAsia="Verdana" w:cs="Verdana"/>
                <w:sz w:val="20"/>
                <w:szCs w:val="20"/>
              </w:rPr>
              <w:t xml:space="preserve"> </w:t>
            </w:r>
            <w:r w:rsidRPr="74CBCF4F">
              <w:rPr>
                <w:rStyle w:val="normaltextrun"/>
                <w:rFonts w:eastAsia="Verdana" w:cs="Verdana"/>
                <w:sz w:val="20"/>
                <w:szCs w:val="20"/>
              </w:rPr>
              <w:t xml:space="preserve">release a </w:t>
            </w:r>
            <w:r>
              <w:rPr>
                <w:rStyle w:val="normaltextrun"/>
                <w:rFonts w:eastAsia="Verdana" w:cs="Verdana"/>
                <w:sz w:val="20"/>
                <w:szCs w:val="20"/>
              </w:rPr>
              <w:t>research report in early 2027, pending the final passage of the research report, providing recommendations to governments and industry on addressing challenges associated with public liability insurance.</w:t>
            </w:r>
          </w:p>
        </w:tc>
      </w:tr>
      <w:tr w:rsidR="0015490A" w:rsidRPr="006B6723" w14:paraId="7C72A300" w14:textId="7A34A38D" w:rsidTr="0015490A">
        <w:trPr>
          <w:trHeight w:val="920"/>
        </w:trPr>
        <w:tc>
          <w:tcPr>
            <w:tcW w:w="971" w:type="dxa"/>
            <w:tcBorders>
              <w:top w:val="single" w:sz="6" w:space="0" w:color="auto"/>
              <w:left w:val="single" w:sz="6" w:space="0" w:color="auto"/>
              <w:bottom w:val="single" w:sz="6" w:space="0" w:color="auto"/>
              <w:right w:val="single" w:sz="6" w:space="0" w:color="auto"/>
            </w:tcBorders>
            <w:tcMar>
              <w:left w:w="105" w:type="dxa"/>
              <w:right w:w="105" w:type="dxa"/>
            </w:tcMar>
          </w:tcPr>
          <w:p w14:paraId="77BCE369" w14:textId="46149D97" w:rsidR="0015490A" w:rsidRPr="006B6723" w:rsidRDefault="0015490A" w:rsidP="00530A4C">
            <w:pPr>
              <w:spacing w:before="60" w:after="60" w:line="240" w:lineRule="auto"/>
              <w:contextualSpacing/>
              <w:jc w:val="center"/>
              <w:rPr>
                <w:rStyle w:val="normaltextrun"/>
                <w:rFonts w:eastAsia="Verdana" w:cs="Verdana"/>
                <w:sz w:val="20"/>
                <w:szCs w:val="20"/>
              </w:rPr>
            </w:pPr>
            <w:r w:rsidRPr="006B6723">
              <w:rPr>
                <w:rStyle w:val="normaltextrun"/>
                <w:rFonts w:eastAsia="Verdana" w:cs="Verdana"/>
                <w:sz w:val="20"/>
                <w:szCs w:val="20"/>
              </w:rPr>
              <w:t>4.1</w:t>
            </w:r>
          </w:p>
        </w:tc>
        <w:tc>
          <w:tcPr>
            <w:tcW w:w="5125" w:type="dxa"/>
            <w:tcBorders>
              <w:top w:val="single" w:sz="6" w:space="0" w:color="auto"/>
              <w:left w:val="single" w:sz="6" w:space="0" w:color="auto"/>
              <w:bottom w:val="single" w:sz="6" w:space="0" w:color="auto"/>
              <w:right w:val="single" w:sz="6" w:space="0" w:color="auto"/>
            </w:tcBorders>
            <w:tcMar>
              <w:left w:w="105" w:type="dxa"/>
              <w:right w:w="105" w:type="dxa"/>
            </w:tcMar>
          </w:tcPr>
          <w:p w14:paraId="246D3C44" w14:textId="02AC27B9" w:rsidR="0015490A" w:rsidRPr="006B6723" w:rsidRDefault="0015490A" w:rsidP="00530A4C">
            <w:pPr>
              <w:spacing w:before="60" w:after="60" w:line="240" w:lineRule="auto"/>
              <w:rPr>
                <w:sz w:val="20"/>
              </w:rPr>
            </w:pPr>
            <w:r w:rsidRPr="006B6723">
              <w:rPr>
                <w:sz w:val="20"/>
              </w:rPr>
              <w:t>Engaging with the First Nations Visitor Economy Partnership as it provides leadership in embedding First Nations tourism in the visitor economy and creates a permanent First Nations national tourism peak body.</w:t>
            </w:r>
          </w:p>
        </w:tc>
        <w:tc>
          <w:tcPr>
            <w:tcW w:w="1984" w:type="dxa"/>
            <w:tcBorders>
              <w:top w:val="single" w:sz="6" w:space="0" w:color="auto"/>
              <w:left w:val="single" w:sz="6" w:space="0" w:color="auto"/>
              <w:bottom w:val="single" w:sz="6" w:space="0" w:color="auto"/>
              <w:right w:val="single" w:sz="6" w:space="0" w:color="auto"/>
            </w:tcBorders>
            <w:tcMar>
              <w:left w:w="105" w:type="dxa"/>
              <w:right w:w="105" w:type="dxa"/>
            </w:tcMar>
          </w:tcPr>
          <w:p w14:paraId="0DADBFC4" w14:textId="657DB4BF" w:rsidR="0015490A" w:rsidRPr="006B6723" w:rsidRDefault="0015490A" w:rsidP="00530A4C">
            <w:pPr>
              <w:spacing w:before="60" w:after="60" w:line="240" w:lineRule="auto"/>
              <w:rPr>
                <w:sz w:val="20"/>
              </w:rPr>
            </w:pPr>
            <w:r w:rsidRPr="006B6723">
              <w:rPr>
                <w:sz w:val="20"/>
              </w:rPr>
              <w:t>Austrade, Tourism Australia, National Indigenous Australians Agency (NIAA)</w:t>
            </w:r>
          </w:p>
        </w:tc>
        <w:tc>
          <w:tcPr>
            <w:tcW w:w="5779" w:type="dxa"/>
            <w:tcBorders>
              <w:top w:val="single" w:sz="6" w:space="0" w:color="auto"/>
              <w:left w:val="single" w:sz="6" w:space="0" w:color="auto"/>
              <w:bottom w:val="single" w:sz="6" w:space="0" w:color="auto"/>
              <w:right w:val="single" w:sz="6" w:space="0" w:color="auto"/>
            </w:tcBorders>
          </w:tcPr>
          <w:p w14:paraId="3FCDE040" w14:textId="3C6CCC21" w:rsidR="0015490A" w:rsidRPr="006B6723" w:rsidRDefault="0015490A" w:rsidP="004133EB">
            <w:pPr>
              <w:spacing w:before="60" w:after="60" w:line="240" w:lineRule="auto"/>
              <w:rPr>
                <w:rFonts w:eastAsia="Verdana" w:cs="Verdana"/>
                <w:sz w:val="20"/>
              </w:rPr>
            </w:pPr>
            <w:r w:rsidRPr="006B6723">
              <w:rPr>
                <w:rFonts w:eastAsia="Verdana" w:cs="Verdana"/>
                <w:sz w:val="20"/>
              </w:rPr>
              <w:t>The</w:t>
            </w:r>
            <w:r>
              <w:rPr>
                <w:rFonts w:eastAsia="Verdana" w:cs="Verdana"/>
                <w:sz w:val="20"/>
              </w:rPr>
              <w:t xml:space="preserve"> </w:t>
            </w:r>
            <w:r w:rsidRPr="006B6723">
              <w:rPr>
                <w:rFonts w:eastAsia="Verdana" w:cs="Verdana"/>
                <w:sz w:val="20"/>
              </w:rPr>
              <w:t>First Nations Visitor Economy Partnership</w:t>
            </w:r>
            <w:r>
              <w:rPr>
                <w:rFonts w:eastAsia="Verdana" w:cs="Verdana"/>
                <w:sz w:val="20"/>
              </w:rPr>
              <w:t xml:space="preserve"> </w:t>
            </w:r>
            <w:r w:rsidRPr="63F54EF4">
              <w:rPr>
                <w:rFonts w:eastAsia="Verdana" w:cs="Verdana"/>
                <w:sz w:val="20"/>
              </w:rPr>
              <w:t>(the Partnership)</w:t>
            </w:r>
            <w:r>
              <w:rPr>
                <w:rFonts w:eastAsia="Verdana" w:cs="Verdana"/>
                <w:sz w:val="20"/>
              </w:rPr>
              <w:t xml:space="preserve"> met on 24 July 2026</w:t>
            </w:r>
            <w:r w:rsidRPr="63F54EF4">
              <w:rPr>
                <w:rFonts w:eastAsia="Verdana" w:cs="Verdana"/>
                <w:sz w:val="20"/>
              </w:rPr>
              <w:t xml:space="preserve">. </w:t>
            </w:r>
            <w:r>
              <w:rPr>
                <w:rFonts w:eastAsia="Verdana" w:cs="Verdana"/>
                <w:sz w:val="20"/>
              </w:rPr>
              <w:t>The partnership discussed the upcoming Australian Indigenous Tourism Conference and ongoing work to becoming the First Nations Tourism Alliance.</w:t>
            </w:r>
          </w:p>
        </w:tc>
        <w:tc>
          <w:tcPr>
            <w:tcW w:w="5561" w:type="dxa"/>
            <w:tcBorders>
              <w:top w:val="single" w:sz="6" w:space="0" w:color="auto"/>
              <w:left w:val="single" w:sz="6" w:space="0" w:color="auto"/>
              <w:bottom w:val="single" w:sz="6" w:space="0" w:color="auto"/>
              <w:right w:val="single" w:sz="6" w:space="0" w:color="auto"/>
            </w:tcBorders>
          </w:tcPr>
          <w:p w14:paraId="6E6F5034" w14:textId="24C4DF4F" w:rsidR="0015490A" w:rsidRDefault="0015490A" w:rsidP="00530A4C">
            <w:pPr>
              <w:spacing w:before="60" w:after="60" w:line="240" w:lineRule="auto"/>
              <w:rPr>
                <w:rFonts w:eastAsia="Verdana" w:cs="Verdana"/>
                <w:sz w:val="20"/>
              </w:rPr>
            </w:pPr>
            <w:r>
              <w:rPr>
                <w:rFonts w:eastAsia="Verdana" w:cs="Verdana"/>
                <w:sz w:val="20"/>
              </w:rPr>
              <w:t>The Partnership will meet next on 8 October 2026.</w:t>
            </w:r>
          </w:p>
          <w:p w14:paraId="5820C6AC" w14:textId="1DA1387D" w:rsidR="0015490A" w:rsidRPr="007F7E24" w:rsidRDefault="0015490A" w:rsidP="00530A4C">
            <w:pPr>
              <w:spacing w:before="60" w:after="60" w:line="240" w:lineRule="auto"/>
              <w:rPr>
                <w:rFonts w:eastAsia="Verdana" w:cs="Verdana"/>
                <w:sz w:val="20"/>
              </w:rPr>
            </w:pPr>
            <w:r w:rsidRPr="006B6723">
              <w:rPr>
                <w:rFonts w:eastAsia="Verdana" w:cs="Verdana"/>
                <w:sz w:val="20"/>
              </w:rPr>
              <w:t>The</w:t>
            </w:r>
            <w:r w:rsidRPr="006B6723" w:rsidDel="001B10F4">
              <w:rPr>
                <w:rFonts w:eastAsia="Verdana" w:cs="Verdana"/>
                <w:sz w:val="20"/>
              </w:rPr>
              <w:t xml:space="preserve"> </w:t>
            </w:r>
            <w:r>
              <w:rPr>
                <w:rFonts w:eastAsia="Verdana" w:cs="Verdana"/>
                <w:sz w:val="20"/>
              </w:rPr>
              <w:t>Australian First Nations Tourism Alliance</w:t>
            </w:r>
            <w:r w:rsidRPr="006B6723">
              <w:rPr>
                <w:rFonts w:eastAsia="Verdana" w:cs="Verdana"/>
                <w:sz w:val="20"/>
              </w:rPr>
              <w:t xml:space="preserve"> constitution </w:t>
            </w:r>
            <w:r>
              <w:rPr>
                <w:rFonts w:eastAsia="Verdana" w:cs="Verdana"/>
                <w:sz w:val="20"/>
              </w:rPr>
              <w:t>is expected to</w:t>
            </w:r>
            <w:r w:rsidRPr="006B6723">
              <w:rPr>
                <w:rFonts w:eastAsia="Verdana" w:cs="Verdana"/>
                <w:sz w:val="20"/>
              </w:rPr>
              <w:t xml:space="preserve"> be submitted to ASIC and the Australian Charities and Not-for-profit Commission </w:t>
            </w:r>
            <w:r>
              <w:rPr>
                <w:rFonts w:eastAsia="Verdana" w:cs="Verdana"/>
                <w:sz w:val="20"/>
              </w:rPr>
              <w:t xml:space="preserve">in </w:t>
            </w:r>
            <w:r w:rsidRPr="74CBCF4F">
              <w:rPr>
                <w:rFonts w:eastAsia="Verdana" w:cs="Verdana"/>
                <w:sz w:val="20"/>
              </w:rPr>
              <w:t>the third quarter of 2026</w:t>
            </w:r>
            <w:r>
              <w:rPr>
                <w:rFonts w:eastAsia="Verdana" w:cs="Verdana"/>
                <w:sz w:val="20"/>
              </w:rPr>
              <w:t xml:space="preserve">, </w:t>
            </w:r>
            <w:r w:rsidRPr="006B6723">
              <w:rPr>
                <w:rFonts w:eastAsia="Verdana" w:cs="Verdana"/>
                <w:sz w:val="20"/>
              </w:rPr>
              <w:t>to enable the Alliance to be established as an entity</w:t>
            </w:r>
            <w:r>
              <w:rPr>
                <w:rFonts w:eastAsia="Verdana" w:cs="Verdana"/>
                <w:sz w:val="20"/>
              </w:rPr>
              <w:t xml:space="preserve"> </w:t>
            </w:r>
            <w:r w:rsidRPr="003054D4">
              <w:rPr>
                <w:rFonts w:eastAsia="Verdana" w:cs="Verdana"/>
                <w:sz w:val="20"/>
              </w:rPr>
              <w:t>by the end of 2026</w:t>
            </w:r>
            <w:r w:rsidRPr="006B6723">
              <w:rPr>
                <w:rFonts w:eastAsia="Verdana" w:cs="Verdana"/>
                <w:sz w:val="20"/>
              </w:rPr>
              <w:t>.</w:t>
            </w:r>
            <w:r w:rsidRPr="00176084">
              <w:rPr>
                <w:rFonts w:eastAsia="Verdana" w:cs="Verdana"/>
                <w:sz w:val="20"/>
              </w:rPr>
              <w:t xml:space="preserve"> </w:t>
            </w:r>
          </w:p>
        </w:tc>
      </w:tr>
      <w:tr w:rsidR="0015490A" w:rsidRPr="006B6723" w14:paraId="35701EDD" w14:textId="6C9EC881" w:rsidTr="0015490A">
        <w:trPr>
          <w:cnfStyle w:val="000000100000" w:firstRow="0" w:lastRow="0" w:firstColumn="0" w:lastColumn="0" w:oddVBand="0" w:evenVBand="0" w:oddHBand="1" w:evenHBand="0" w:firstRowFirstColumn="0" w:firstRowLastColumn="0" w:lastRowFirstColumn="0" w:lastRowLastColumn="0"/>
          <w:trHeight w:val="920"/>
        </w:trPr>
        <w:tc>
          <w:tcPr>
            <w:tcW w:w="971" w:type="dxa"/>
            <w:tcBorders>
              <w:top w:val="single" w:sz="6" w:space="0" w:color="auto"/>
              <w:left w:val="single" w:sz="6" w:space="0" w:color="auto"/>
              <w:bottom w:val="single" w:sz="6" w:space="0" w:color="auto"/>
              <w:right w:val="single" w:sz="6" w:space="0" w:color="auto"/>
            </w:tcBorders>
            <w:tcMar>
              <w:left w:w="105" w:type="dxa"/>
              <w:right w:w="105" w:type="dxa"/>
            </w:tcMar>
          </w:tcPr>
          <w:p w14:paraId="611D8553" w14:textId="67E30688" w:rsidR="0015490A" w:rsidRPr="006B6723" w:rsidRDefault="0015490A" w:rsidP="00530A4C">
            <w:pPr>
              <w:spacing w:before="60" w:after="60" w:line="240" w:lineRule="auto"/>
              <w:jc w:val="center"/>
              <w:rPr>
                <w:rStyle w:val="normaltextrun"/>
                <w:rFonts w:eastAsia="Verdana" w:cs="Verdana"/>
                <w:sz w:val="20"/>
                <w:szCs w:val="20"/>
              </w:rPr>
            </w:pPr>
            <w:r w:rsidRPr="006B6723">
              <w:rPr>
                <w:rStyle w:val="normaltextrun"/>
                <w:rFonts w:eastAsia="Verdana" w:cs="Verdana"/>
                <w:sz w:val="20"/>
                <w:szCs w:val="20"/>
              </w:rPr>
              <w:t>4.2</w:t>
            </w:r>
          </w:p>
        </w:tc>
        <w:tc>
          <w:tcPr>
            <w:tcW w:w="5125" w:type="dxa"/>
            <w:tcBorders>
              <w:top w:val="single" w:sz="6" w:space="0" w:color="auto"/>
              <w:left w:val="single" w:sz="6" w:space="0" w:color="auto"/>
              <w:bottom w:val="single" w:sz="6" w:space="0" w:color="auto"/>
              <w:right w:val="single" w:sz="6" w:space="0" w:color="auto"/>
            </w:tcBorders>
            <w:tcMar>
              <w:left w:w="105" w:type="dxa"/>
              <w:right w:w="105" w:type="dxa"/>
            </w:tcMar>
          </w:tcPr>
          <w:p w14:paraId="4490BE95" w14:textId="69257CE2" w:rsidR="0015490A" w:rsidRPr="006B6723" w:rsidRDefault="0015490A" w:rsidP="00530A4C">
            <w:pPr>
              <w:spacing w:before="60" w:after="60" w:line="240" w:lineRule="auto"/>
              <w:rPr>
                <w:sz w:val="20"/>
              </w:rPr>
            </w:pPr>
            <w:r w:rsidRPr="006B6723">
              <w:rPr>
                <w:sz w:val="20"/>
              </w:rPr>
              <w:t>Embedding the National Sustainability Framework and Sustainable Tourism Toolkit principles in tourism industry practices, encouraging eligible tourism operators to bolster their ecotourism credentials, and promoting Australia’s sustainable tourism credentials.</w:t>
            </w:r>
          </w:p>
        </w:tc>
        <w:tc>
          <w:tcPr>
            <w:tcW w:w="1984" w:type="dxa"/>
            <w:tcBorders>
              <w:top w:val="single" w:sz="6" w:space="0" w:color="auto"/>
              <w:left w:val="single" w:sz="6" w:space="0" w:color="auto"/>
              <w:bottom w:val="single" w:sz="6" w:space="0" w:color="auto"/>
              <w:right w:val="single" w:sz="6" w:space="0" w:color="auto"/>
            </w:tcBorders>
            <w:tcMar>
              <w:left w:w="105" w:type="dxa"/>
              <w:right w:w="105" w:type="dxa"/>
            </w:tcMar>
          </w:tcPr>
          <w:p w14:paraId="7FEC3683" w14:textId="6E743840" w:rsidR="0015490A" w:rsidRPr="006B6723" w:rsidRDefault="0015490A" w:rsidP="00530A4C">
            <w:pPr>
              <w:spacing w:before="60" w:after="60" w:line="240" w:lineRule="auto"/>
              <w:rPr>
                <w:sz w:val="20"/>
              </w:rPr>
            </w:pPr>
            <w:r w:rsidRPr="006B6723">
              <w:rPr>
                <w:sz w:val="20"/>
              </w:rPr>
              <w:t>Austrade, Tourism Australia</w:t>
            </w:r>
          </w:p>
        </w:tc>
        <w:tc>
          <w:tcPr>
            <w:tcW w:w="5779" w:type="dxa"/>
            <w:tcBorders>
              <w:top w:val="single" w:sz="6" w:space="0" w:color="auto"/>
              <w:left w:val="single" w:sz="6" w:space="0" w:color="auto"/>
              <w:bottom w:val="single" w:sz="6" w:space="0" w:color="auto"/>
              <w:right w:val="single" w:sz="6" w:space="0" w:color="auto"/>
            </w:tcBorders>
          </w:tcPr>
          <w:p w14:paraId="46C58C23" w14:textId="688386EA" w:rsidR="0015490A" w:rsidRDefault="0015490A" w:rsidP="007F62C9">
            <w:pPr>
              <w:spacing w:before="60" w:after="60" w:line="240" w:lineRule="auto"/>
              <w:rPr>
                <w:rFonts w:eastAsia="Verdana" w:cs="Verdana"/>
                <w:color w:val="000000" w:themeColor="text1"/>
                <w:sz w:val="20"/>
                <w:szCs w:val="22"/>
              </w:rPr>
            </w:pPr>
            <w:r w:rsidRPr="00F77CBC">
              <w:rPr>
                <w:rFonts w:eastAsia="Verdana" w:cs="Verdana"/>
                <w:color w:val="000000" w:themeColor="text1"/>
                <w:sz w:val="20"/>
                <w:szCs w:val="22"/>
              </w:rPr>
              <w:t xml:space="preserve">In partnership with </w:t>
            </w:r>
            <w:r>
              <w:rPr>
                <w:rFonts w:eastAsia="Verdana" w:cs="Verdana"/>
                <w:sz w:val="20"/>
              </w:rPr>
              <w:t xml:space="preserve">Austrade’s </w:t>
            </w:r>
            <w:r w:rsidRPr="003C1832">
              <w:rPr>
                <w:rFonts w:eastAsia="Verdana" w:cs="Verdana"/>
                <w:sz w:val="20"/>
              </w:rPr>
              <w:t xml:space="preserve">OTVE </w:t>
            </w:r>
            <w:r w:rsidRPr="00F77CBC">
              <w:rPr>
                <w:rFonts w:eastAsia="Verdana" w:cs="Verdana"/>
                <w:color w:val="000000" w:themeColor="text1"/>
                <w:sz w:val="20"/>
                <w:szCs w:val="22"/>
              </w:rPr>
              <w:t xml:space="preserve">and state and territory tourism organisations, Tourism Australia published </w:t>
            </w:r>
            <w:hyperlink r:id="rId36" w:history="1">
              <w:r w:rsidRPr="003A6FA3">
                <w:rPr>
                  <w:rStyle w:val="Hyperlink"/>
                  <w:rFonts w:eastAsia="Verdana" w:cs="Verdana"/>
                  <w:sz w:val="20"/>
                </w:rPr>
                <w:t>Empowering Consumers for Australian Tourism</w:t>
              </w:r>
            </w:hyperlink>
            <w:r w:rsidRPr="00F77CBC">
              <w:rPr>
                <w:rFonts w:eastAsia="Verdana" w:cs="Verdana"/>
                <w:color w:val="000000" w:themeColor="text1"/>
                <w:sz w:val="20"/>
                <w:szCs w:val="22"/>
              </w:rPr>
              <w:t xml:space="preserve">, a guide for industry on the European Empowering Consumers Directive. </w:t>
            </w:r>
          </w:p>
          <w:p w14:paraId="668D9DBD" w14:textId="32630234" w:rsidR="0015490A" w:rsidRPr="004C071B" w:rsidRDefault="0015490A" w:rsidP="00FA5617">
            <w:pPr>
              <w:pStyle w:val="ListParagraph"/>
              <w:numPr>
                <w:ilvl w:val="0"/>
                <w:numId w:val="11"/>
              </w:numPr>
              <w:spacing w:before="60" w:after="60" w:line="240" w:lineRule="auto"/>
              <w:rPr>
                <w:rFonts w:eastAsia="Verdana" w:cs="Verdana"/>
                <w:color w:val="000000" w:themeColor="text1"/>
                <w:sz w:val="20"/>
              </w:rPr>
            </w:pPr>
            <w:r w:rsidRPr="004C071B">
              <w:rPr>
                <w:rFonts w:eastAsia="Verdana" w:cs="Verdana"/>
                <w:color w:val="000000" w:themeColor="text1"/>
                <w:sz w:val="20"/>
              </w:rPr>
              <w:t>A dedicated industry webinar was held in August 2026 to further inform and support industry about the changes.</w:t>
            </w:r>
          </w:p>
          <w:p w14:paraId="14C77399" w14:textId="77777777" w:rsidR="0015490A" w:rsidRDefault="0015490A" w:rsidP="001A261E">
            <w:pPr>
              <w:spacing w:before="60" w:after="60" w:line="240" w:lineRule="auto"/>
              <w:rPr>
                <w:rFonts w:eastAsia="Verdana" w:cs="Verdana"/>
                <w:color w:val="000000" w:themeColor="text1"/>
                <w:sz w:val="20"/>
                <w:highlight w:val="yellow"/>
                <w:lang w:val="en-US"/>
              </w:rPr>
            </w:pPr>
            <w:r w:rsidRPr="00F77CBC">
              <w:rPr>
                <w:rFonts w:eastAsia="Verdana" w:cs="Verdana"/>
                <w:color w:val="000000" w:themeColor="text1"/>
                <w:sz w:val="20"/>
              </w:rPr>
              <w:t xml:space="preserve">Tourism Australia chaired the One Voice Sustainability Forum with </w:t>
            </w:r>
            <w:r w:rsidRPr="00F77CBC" w:rsidDel="001A261E">
              <w:rPr>
                <w:rFonts w:eastAsia="Verdana" w:cs="Verdana"/>
                <w:color w:val="000000" w:themeColor="text1"/>
                <w:sz w:val="20"/>
                <w:szCs w:val="22"/>
              </w:rPr>
              <w:t xml:space="preserve">state and territory </w:t>
            </w:r>
            <w:r w:rsidRPr="00F77CBC">
              <w:rPr>
                <w:rFonts w:eastAsia="Verdana" w:cs="Verdana"/>
                <w:color w:val="000000" w:themeColor="text1"/>
                <w:sz w:val="20"/>
                <w:szCs w:val="22"/>
              </w:rPr>
              <w:t>tourism organisations</w:t>
            </w:r>
            <w:r w:rsidRPr="00F77CBC">
              <w:rPr>
                <w:rFonts w:eastAsia="Verdana" w:cs="Verdana"/>
                <w:color w:val="000000" w:themeColor="text1"/>
                <w:sz w:val="20"/>
              </w:rPr>
              <w:t xml:space="preserve"> in September</w:t>
            </w:r>
            <w:r w:rsidRPr="00F77CBC" w:rsidDel="001A261E">
              <w:rPr>
                <w:rFonts w:eastAsia="Verdana" w:cs="Verdana"/>
                <w:color w:val="000000" w:themeColor="text1"/>
                <w:sz w:val="20"/>
              </w:rPr>
              <w:t xml:space="preserve"> 2026.</w:t>
            </w:r>
            <w:r w:rsidRPr="12BF6A59">
              <w:rPr>
                <w:rFonts w:eastAsia="Verdana" w:cs="Verdana"/>
                <w:color w:val="000000" w:themeColor="text1"/>
                <w:sz w:val="20"/>
                <w:highlight w:val="yellow"/>
                <w:lang w:val="en-US"/>
              </w:rPr>
              <w:t xml:space="preserve"> </w:t>
            </w:r>
          </w:p>
          <w:p w14:paraId="6C0982DF" w14:textId="14FBA3CC" w:rsidR="0015490A" w:rsidRPr="006B6723" w:rsidRDefault="0015490A" w:rsidP="001A261E">
            <w:pPr>
              <w:spacing w:before="60" w:after="60" w:line="240" w:lineRule="auto"/>
              <w:rPr>
                <w:rFonts w:eastAsia="Verdana" w:cs="Verdana"/>
                <w:color w:val="000000" w:themeColor="text1"/>
                <w:sz w:val="20"/>
              </w:rPr>
            </w:pPr>
            <w:r w:rsidRPr="00A91E58">
              <w:rPr>
                <w:rFonts w:eastAsia="Verdana" w:cs="Verdana"/>
                <w:color w:val="000000" w:themeColor="text1"/>
                <w:sz w:val="20"/>
                <w:lang w:val="en-US"/>
              </w:rPr>
              <w:t>Video and social assets specifically tailored for the Business Events audience are also rolling out via an 8-week LinkedIn campaign. Launched 7 September across six key markets: UK, US, India, NZ, Canada, and Singapore, the push aims to position Australia's sustainability platform as a key driver for international event selection, with options to extend coverage later in the year.</w:t>
            </w:r>
          </w:p>
        </w:tc>
        <w:tc>
          <w:tcPr>
            <w:tcW w:w="5561" w:type="dxa"/>
            <w:tcBorders>
              <w:top w:val="single" w:sz="6" w:space="0" w:color="auto"/>
              <w:left w:val="single" w:sz="6" w:space="0" w:color="auto"/>
              <w:bottom w:val="single" w:sz="6" w:space="0" w:color="auto"/>
              <w:right w:val="single" w:sz="6" w:space="0" w:color="auto"/>
            </w:tcBorders>
          </w:tcPr>
          <w:p w14:paraId="6E9E7266" w14:textId="45BEF96C" w:rsidR="0015490A" w:rsidRPr="00921532" w:rsidRDefault="0015490A" w:rsidP="00530A4C">
            <w:pPr>
              <w:spacing w:before="60" w:after="60" w:line="240" w:lineRule="auto"/>
              <w:rPr>
                <w:rFonts w:eastAsia="Verdana" w:cs="Verdana"/>
                <w:color w:val="000000" w:themeColor="text1"/>
                <w:sz w:val="20"/>
                <w:szCs w:val="22"/>
              </w:rPr>
            </w:pPr>
            <w:r w:rsidRPr="00F77CBC">
              <w:rPr>
                <w:rFonts w:eastAsia="Verdana" w:cs="Verdana"/>
                <w:color w:val="000000" w:themeColor="text1"/>
                <w:sz w:val="20"/>
                <w:szCs w:val="22"/>
              </w:rPr>
              <w:t xml:space="preserve">Tourism Australia continues to promote the </w:t>
            </w:r>
            <w:hyperlink r:id="rId37" w:history="1">
              <w:r w:rsidRPr="006A5571">
                <w:rPr>
                  <w:rStyle w:val="Hyperlink"/>
                  <w:rFonts w:eastAsia="Verdana" w:cs="Verdana"/>
                  <w:sz w:val="20"/>
                  <w:szCs w:val="22"/>
                </w:rPr>
                <w:t>Green is our Gold</w:t>
              </w:r>
            </w:hyperlink>
            <w:r>
              <w:rPr>
                <w:rFonts w:eastAsia="Verdana" w:cs="Verdana"/>
                <w:color w:val="000000" w:themeColor="text1"/>
                <w:sz w:val="20"/>
                <w:szCs w:val="22"/>
              </w:rPr>
              <w:t xml:space="preserve"> </w:t>
            </w:r>
            <w:r w:rsidRPr="00F77CBC">
              <w:rPr>
                <w:rFonts w:eastAsia="Verdana" w:cs="Verdana"/>
                <w:color w:val="000000" w:themeColor="text1"/>
                <w:sz w:val="20"/>
                <w:szCs w:val="22"/>
              </w:rPr>
              <w:t>initiative and will work with the national accredited Visitor Information Network to provide tailored communications products to encourage adoption of the initiative.</w:t>
            </w:r>
          </w:p>
          <w:p w14:paraId="6CC33514" w14:textId="69979A83" w:rsidR="0015490A" w:rsidRDefault="0015490A" w:rsidP="000C714A">
            <w:pPr>
              <w:spacing w:before="60" w:after="60" w:line="240" w:lineRule="auto"/>
              <w:rPr>
                <w:rFonts w:eastAsia="Verdana" w:cs="Verdana"/>
                <w:color w:val="000000" w:themeColor="text1"/>
                <w:sz w:val="20"/>
                <w:szCs w:val="22"/>
                <w:lang w:val="en-US"/>
              </w:rPr>
            </w:pPr>
            <w:r w:rsidRPr="003A726C">
              <w:rPr>
                <w:rFonts w:eastAsia="Verdana" w:cs="Verdana"/>
                <w:color w:val="000000" w:themeColor="text1"/>
                <w:sz w:val="20"/>
                <w:szCs w:val="22"/>
                <w:lang w:val="en-US"/>
              </w:rPr>
              <w:t xml:space="preserve">Tourism Australia </w:t>
            </w:r>
            <w:r>
              <w:rPr>
                <w:rFonts w:eastAsia="Verdana" w:cs="Verdana"/>
                <w:color w:val="000000" w:themeColor="text1"/>
                <w:sz w:val="20"/>
                <w:szCs w:val="22"/>
                <w:lang w:val="en-US"/>
              </w:rPr>
              <w:t>is working on</w:t>
            </w:r>
            <w:r w:rsidRPr="003A726C">
              <w:rPr>
                <w:rFonts w:eastAsia="Verdana" w:cs="Verdana"/>
                <w:color w:val="000000" w:themeColor="text1"/>
                <w:sz w:val="20"/>
                <w:szCs w:val="22"/>
                <w:lang w:val="en-US"/>
              </w:rPr>
              <w:t xml:space="preserve"> a benchmarking report for the Business Events sector, which will feature case studies on how the Green and Gold Principles are embraced by the Australia’s major convention </w:t>
            </w:r>
            <w:proofErr w:type="spellStart"/>
            <w:r w:rsidRPr="003A726C">
              <w:rPr>
                <w:rFonts w:eastAsia="Verdana" w:cs="Verdana"/>
                <w:color w:val="000000" w:themeColor="text1"/>
                <w:sz w:val="20"/>
                <w:szCs w:val="22"/>
                <w:lang w:val="en-US"/>
              </w:rPr>
              <w:t>centres</w:t>
            </w:r>
            <w:proofErr w:type="spellEnd"/>
            <w:r w:rsidRPr="003A726C">
              <w:rPr>
                <w:rFonts w:eastAsia="Verdana" w:cs="Verdana"/>
                <w:color w:val="000000" w:themeColor="text1"/>
                <w:sz w:val="20"/>
                <w:szCs w:val="22"/>
                <w:lang w:val="en-US"/>
              </w:rPr>
              <w:t>.</w:t>
            </w:r>
          </w:p>
          <w:p w14:paraId="43EEA657" w14:textId="56C0AF60" w:rsidR="0015490A" w:rsidRPr="00D755A3" w:rsidRDefault="0015490A" w:rsidP="00530A4C">
            <w:pPr>
              <w:spacing w:before="60" w:after="60" w:line="240" w:lineRule="auto"/>
              <w:rPr>
                <w:rFonts w:eastAsia="Verdana" w:cs="Verdana"/>
                <w:color w:val="000000" w:themeColor="text1"/>
                <w:sz w:val="20"/>
                <w:highlight w:val="yellow"/>
                <w:lang w:val="en-US"/>
              </w:rPr>
            </w:pPr>
          </w:p>
        </w:tc>
      </w:tr>
      <w:tr w:rsidR="0015490A" w:rsidRPr="006B6723" w14:paraId="7CFD57E8" w14:textId="20F8942A" w:rsidTr="0015490A">
        <w:trPr>
          <w:trHeight w:val="920"/>
        </w:trPr>
        <w:tc>
          <w:tcPr>
            <w:tcW w:w="971" w:type="dxa"/>
            <w:tcBorders>
              <w:top w:val="single" w:sz="6" w:space="0" w:color="auto"/>
              <w:left w:val="single" w:sz="6" w:space="0" w:color="auto"/>
              <w:bottom w:val="single" w:sz="6" w:space="0" w:color="auto"/>
              <w:right w:val="single" w:sz="6" w:space="0" w:color="auto"/>
            </w:tcBorders>
            <w:tcMar>
              <w:left w:w="105" w:type="dxa"/>
              <w:right w:w="105" w:type="dxa"/>
            </w:tcMar>
          </w:tcPr>
          <w:p w14:paraId="0D7D4EB9" w14:textId="27800169" w:rsidR="0015490A" w:rsidRPr="006B6723" w:rsidRDefault="0015490A" w:rsidP="00530A4C">
            <w:pPr>
              <w:spacing w:before="60" w:after="60" w:line="240" w:lineRule="auto"/>
              <w:jc w:val="center"/>
              <w:rPr>
                <w:rStyle w:val="normaltextrun"/>
                <w:rFonts w:eastAsia="Verdana" w:cs="Verdana"/>
                <w:sz w:val="20"/>
                <w:szCs w:val="20"/>
              </w:rPr>
            </w:pPr>
            <w:r w:rsidRPr="003A60B2">
              <w:rPr>
                <w:rStyle w:val="normaltextrun"/>
                <w:rFonts w:eastAsia="Verdana" w:cs="Verdana"/>
                <w:sz w:val="20"/>
                <w:szCs w:val="20"/>
              </w:rPr>
              <w:t>4.3</w:t>
            </w:r>
          </w:p>
        </w:tc>
        <w:tc>
          <w:tcPr>
            <w:tcW w:w="5125" w:type="dxa"/>
            <w:tcBorders>
              <w:top w:val="single" w:sz="6" w:space="0" w:color="auto"/>
              <w:left w:val="single" w:sz="6" w:space="0" w:color="auto"/>
              <w:bottom w:val="single" w:sz="6" w:space="0" w:color="auto"/>
              <w:right w:val="single" w:sz="6" w:space="0" w:color="auto"/>
            </w:tcBorders>
            <w:tcMar>
              <w:left w:w="105" w:type="dxa"/>
              <w:right w:w="105" w:type="dxa"/>
            </w:tcMar>
          </w:tcPr>
          <w:p w14:paraId="1B41BF77" w14:textId="7C175874" w:rsidR="0015490A" w:rsidRPr="006B6723" w:rsidRDefault="0015490A" w:rsidP="00530A4C">
            <w:pPr>
              <w:spacing w:before="60" w:after="60" w:line="240" w:lineRule="auto"/>
              <w:rPr>
                <w:sz w:val="20"/>
              </w:rPr>
            </w:pPr>
            <w:r w:rsidRPr="006B6723">
              <w:rPr>
                <w:sz w:val="20"/>
              </w:rPr>
              <w:t>Supporting the visitor economy to decarbonise by drawing on the Australian Government’s Net Zero Plan, leveraging the sectoral emissions reduction plans, and the First Nations Clean Energy Strategy; and to monitor the visitor economy’s emissions profile, including an agreed definition and measurement of national tourism net greenhouse gas emissions.</w:t>
            </w:r>
          </w:p>
        </w:tc>
        <w:tc>
          <w:tcPr>
            <w:tcW w:w="1984" w:type="dxa"/>
            <w:tcBorders>
              <w:top w:val="single" w:sz="6" w:space="0" w:color="auto"/>
              <w:left w:val="single" w:sz="6" w:space="0" w:color="auto"/>
              <w:bottom w:val="single" w:sz="6" w:space="0" w:color="auto"/>
              <w:right w:val="single" w:sz="6" w:space="0" w:color="auto"/>
            </w:tcBorders>
            <w:tcMar>
              <w:left w:w="105" w:type="dxa"/>
              <w:right w:w="105" w:type="dxa"/>
            </w:tcMar>
          </w:tcPr>
          <w:p w14:paraId="445AEACF" w14:textId="0B43DEAE" w:rsidR="0015490A" w:rsidRPr="006B6723" w:rsidRDefault="0015490A" w:rsidP="00530A4C">
            <w:pPr>
              <w:spacing w:before="60" w:after="60" w:line="240" w:lineRule="auto"/>
              <w:rPr>
                <w:sz w:val="20"/>
              </w:rPr>
            </w:pPr>
            <w:r w:rsidRPr="006B6723">
              <w:rPr>
                <w:sz w:val="20"/>
              </w:rPr>
              <w:t>Austrade, Australian Bureau of Statistics (ABS), Department of Climate Change, Energy, the Environment and Water (DCCEEW)</w:t>
            </w:r>
          </w:p>
        </w:tc>
        <w:tc>
          <w:tcPr>
            <w:tcW w:w="5779" w:type="dxa"/>
            <w:tcBorders>
              <w:top w:val="single" w:sz="6" w:space="0" w:color="auto"/>
              <w:left w:val="single" w:sz="6" w:space="0" w:color="auto"/>
              <w:bottom w:val="single" w:sz="6" w:space="0" w:color="auto"/>
              <w:right w:val="single" w:sz="6" w:space="0" w:color="auto"/>
            </w:tcBorders>
          </w:tcPr>
          <w:p w14:paraId="6620F43E" w14:textId="780CB0BD" w:rsidR="0015490A" w:rsidRDefault="0015490A" w:rsidP="00530A4C">
            <w:pPr>
              <w:spacing w:before="60" w:after="60" w:line="240" w:lineRule="auto"/>
              <w:rPr>
                <w:rFonts w:eastAsia="Verdana" w:cs="Verdana"/>
                <w:iCs/>
                <w:color w:val="000000" w:themeColor="text1"/>
                <w:sz w:val="20"/>
              </w:rPr>
            </w:pPr>
            <w:r w:rsidRPr="00937E9D">
              <w:rPr>
                <w:rFonts w:eastAsia="Verdana" w:cs="Verdana"/>
                <w:iCs/>
                <w:color w:val="000000" w:themeColor="text1"/>
                <w:sz w:val="20"/>
              </w:rPr>
              <w:t xml:space="preserve">On 1 July 2026 the ABS commenced the project to compile Australia’s first </w:t>
            </w:r>
            <w:hyperlink r:id="rId38" w:history="1">
              <w:r w:rsidRPr="00172D47">
                <w:rPr>
                  <w:rStyle w:val="Hyperlink"/>
                  <w:rFonts w:eastAsia="Verdana" w:cs="Verdana"/>
                  <w:iCs/>
                  <w:sz w:val="20"/>
                </w:rPr>
                <w:t>Tourism Greenhouse Gas Emissions Account</w:t>
              </w:r>
            </w:hyperlink>
            <w:r w:rsidRPr="00937E9D">
              <w:rPr>
                <w:rFonts w:eastAsia="Verdana" w:cs="Verdana"/>
                <w:iCs/>
                <w:color w:val="000000" w:themeColor="text1"/>
                <w:sz w:val="20"/>
              </w:rPr>
              <w:t>.</w:t>
            </w:r>
            <w:r>
              <w:rPr>
                <w:rFonts w:eastAsia="Verdana" w:cs="Verdana"/>
                <w:iCs/>
                <w:color w:val="000000" w:themeColor="text1"/>
                <w:sz w:val="20"/>
              </w:rPr>
              <w:t xml:space="preserve"> The Account </w:t>
            </w:r>
            <w:r w:rsidRPr="00D96800">
              <w:rPr>
                <w:rFonts w:eastAsia="Verdana" w:cs="Verdana"/>
                <w:iCs/>
                <w:color w:val="000000" w:themeColor="text1"/>
                <w:sz w:val="20"/>
              </w:rPr>
              <w:t>is a statistical framework and data product that measures the environmental impact of the tourism sector</w:t>
            </w:r>
            <w:r>
              <w:rPr>
                <w:rFonts w:eastAsia="Verdana" w:cs="Verdana"/>
                <w:iCs/>
                <w:color w:val="000000" w:themeColor="text1"/>
                <w:sz w:val="20"/>
              </w:rPr>
              <w:t>.</w:t>
            </w:r>
          </w:p>
          <w:p w14:paraId="3E05D232" w14:textId="77777777" w:rsidR="0015490A" w:rsidRDefault="0015490A" w:rsidP="00FA5617">
            <w:pPr>
              <w:pStyle w:val="ListParagraph"/>
              <w:numPr>
                <w:ilvl w:val="0"/>
                <w:numId w:val="12"/>
              </w:numPr>
              <w:spacing w:before="60" w:after="60" w:line="240" w:lineRule="auto"/>
              <w:rPr>
                <w:rFonts w:eastAsia="Verdana" w:cs="Verdana"/>
                <w:color w:val="000000" w:themeColor="text1"/>
                <w:sz w:val="20"/>
              </w:rPr>
            </w:pPr>
            <w:r w:rsidRPr="004C071B">
              <w:rPr>
                <w:rFonts w:eastAsia="Verdana" w:cs="Verdana"/>
                <w:color w:val="000000" w:themeColor="text1"/>
                <w:sz w:val="20"/>
              </w:rPr>
              <w:t xml:space="preserve">The account will, to the extent possible, align with the Statistical Framework for Measuring the Sustainability of Tourism (SF-MST) and the System of Environmental-Economic Accounting (SEEA). </w:t>
            </w:r>
          </w:p>
          <w:p w14:paraId="5AFA484C" w14:textId="635071EF" w:rsidR="0015490A" w:rsidRPr="00B22ED9" w:rsidRDefault="0015490A" w:rsidP="00FA5617">
            <w:pPr>
              <w:pStyle w:val="ListParagraph"/>
              <w:numPr>
                <w:ilvl w:val="0"/>
                <w:numId w:val="12"/>
              </w:numPr>
              <w:spacing w:before="60" w:after="60" w:line="240" w:lineRule="auto"/>
              <w:rPr>
                <w:rFonts w:eastAsia="Verdana" w:cs="Verdana"/>
                <w:color w:val="000000" w:themeColor="text1"/>
                <w:sz w:val="20"/>
              </w:rPr>
            </w:pPr>
            <w:r w:rsidRPr="00B22ED9">
              <w:rPr>
                <w:rFonts w:eastAsia="Verdana" w:cs="Verdana"/>
                <w:color w:val="000000" w:themeColor="text1"/>
                <w:sz w:val="20"/>
              </w:rPr>
              <w:lastRenderedPageBreak/>
              <w:t xml:space="preserve">It is intended that outputs can be directly integrated with, and assessed alongside, the Tourism Satellite Account (TSA). </w:t>
            </w:r>
          </w:p>
        </w:tc>
        <w:tc>
          <w:tcPr>
            <w:tcW w:w="5561" w:type="dxa"/>
            <w:tcBorders>
              <w:top w:val="single" w:sz="6" w:space="0" w:color="auto"/>
              <w:left w:val="single" w:sz="6" w:space="0" w:color="auto"/>
              <w:bottom w:val="single" w:sz="6" w:space="0" w:color="auto"/>
              <w:right w:val="single" w:sz="6" w:space="0" w:color="auto"/>
            </w:tcBorders>
          </w:tcPr>
          <w:p w14:paraId="5407B6CF" w14:textId="77777777" w:rsidR="0015490A" w:rsidRDefault="0015490A" w:rsidP="00530A4C">
            <w:pPr>
              <w:spacing w:before="60" w:after="60" w:line="240" w:lineRule="auto"/>
              <w:rPr>
                <w:rFonts w:eastAsia="Verdana" w:cs="Verdana"/>
                <w:color w:val="000000" w:themeColor="text1"/>
                <w:sz w:val="20"/>
              </w:rPr>
            </w:pPr>
            <w:r w:rsidRPr="004133EB">
              <w:rPr>
                <w:rFonts w:eastAsia="Verdana" w:cs="Verdana"/>
                <w:color w:val="000000" w:themeColor="text1"/>
                <w:sz w:val="20"/>
              </w:rPr>
              <w:lastRenderedPageBreak/>
              <w:t xml:space="preserve">Compilation of the </w:t>
            </w:r>
            <w:r w:rsidRPr="004133EB">
              <w:rPr>
                <w:rFonts w:eastAsia="Verdana" w:cs="Verdana"/>
                <w:color w:val="000000" w:themeColor="text1"/>
                <w:sz w:val="20"/>
                <w:u w:val="single"/>
              </w:rPr>
              <w:t>Tourism Greenhouse Gas Emissions Account</w:t>
            </w:r>
            <w:r w:rsidRPr="004133EB">
              <w:rPr>
                <w:rFonts w:eastAsia="Verdana" w:cs="Verdana"/>
                <w:color w:val="000000" w:themeColor="text1"/>
                <w:sz w:val="20"/>
              </w:rPr>
              <w:t xml:space="preserve"> will continue, with an expected release date of mid-2027.</w:t>
            </w:r>
          </w:p>
          <w:p w14:paraId="4EB47BC7" w14:textId="282C69A8" w:rsidR="0015490A" w:rsidRPr="002400A7" w:rsidRDefault="0015490A" w:rsidP="00530A4C">
            <w:pPr>
              <w:spacing w:before="60" w:after="60" w:line="240" w:lineRule="auto"/>
              <w:rPr>
                <w:rFonts w:eastAsia="Verdana" w:cs="Verdana"/>
                <w:color w:val="000000" w:themeColor="text1"/>
                <w:sz w:val="20"/>
              </w:rPr>
            </w:pPr>
            <w:r w:rsidRPr="00B22ED9">
              <w:rPr>
                <w:rFonts w:eastAsia="Verdana" w:cs="Verdana"/>
                <w:color w:val="000000" w:themeColor="text1"/>
                <w:sz w:val="20"/>
              </w:rPr>
              <w:t>Tourism Research Australia and the ABS will continue to meet monthly to discuss data and research, with the GHG emissions account a regular agenda item for update.</w:t>
            </w:r>
          </w:p>
        </w:tc>
      </w:tr>
      <w:tr w:rsidR="0015490A" w:rsidRPr="006B6723" w14:paraId="5C2820C1" w14:textId="114BFAA4" w:rsidTr="0015490A">
        <w:trPr>
          <w:cnfStyle w:val="000000100000" w:firstRow="0" w:lastRow="0" w:firstColumn="0" w:lastColumn="0" w:oddVBand="0" w:evenVBand="0" w:oddHBand="1" w:evenHBand="0" w:firstRowFirstColumn="0" w:firstRowLastColumn="0" w:lastRowFirstColumn="0" w:lastRowLastColumn="0"/>
          <w:trHeight w:val="547"/>
        </w:trPr>
        <w:tc>
          <w:tcPr>
            <w:tcW w:w="971" w:type="dxa"/>
            <w:tcBorders>
              <w:top w:val="single" w:sz="6" w:space="0" w:color="auto"/>
              <w:left w:val="single" w:sz="6" w:space="0" w:color="auto"/>
              <w:bottom w:val="single" w:sz="6" w:space="0" w:color="auto"/>
              <w:right w:val="single" w:sz="6" w:space="0" w:color="auto"/>
            </w:tcBorders>
            <w:tcMar>
              <w:left w:w="105" w:type="dxa"/>
              <w:right w:w="105" w:type="dxa"/>
            </w:tcMar>
          </w:tcPr>
          <w:p w14:paraId="799C5C68" w14:textId="1FEE8E90" w:rsidR="0015490A" w:rsidRPr="006B6723" w:rsidRDefault="0015490A" w:rsidP="00530A4C">
            <w:pPr>
              <w:spacing w:before="60" w:after="60" w:line="240" w:lineRule="auto"/>
              <w:jc w:val="center"/>
              <w:rPr>
                <w:rStyle w:val="normaltextrun"/>
                <w:rFonts w:eastAsia="Verdana" w:cs="Verdana"/>
                <w:b/>
                <w:bCs/>
                <w:sz w:val="20"/>
                <w:szCs w:val="20"/>
              </w:rPr>
            </w:pPr>
            <w:r w:rsidRPr="006B6723">
              <w:rPr>
                <w:sz w:val="20"/>
                <w:lang w:val="en-US"/>
              </w:rPr>
              <w:t>4.4</w:t>
            </w:r>
          </w:p>
        </w:tc>
        <w:tc>
          <w:tcPr>
            <w:tcW w:w="5125" w:type="dxa"/>
            <w:tcBorders>
              <w:top w:val="single" w:sz="6" w:space="0" w:color="auto"/>
              <w:left w:val="single" w:sz="6" w:space="0" w:color="auto"/>
              <w:bottom w:val="single" w:sz="6" w:space="0" w:color="auto"/>
              <w:right w:val="single" w:sz="6" w:space="0" w:color="auto"/>
            </w:tcBorders>
            <w:tcMar>
              <w:left w:w="105" w:type="dxa"/>
              <w:right w:w="105" w:type="dxa"/>
            </w:tcMar>
          </w:tcPr>
          <w:p w14:paraId="7E91EBA7" w14:textId="235F0997" w:rsidR="0015490A" w:rsidRPr="006B6723" w:rsidRDefault="0015490A" w:rsidP="00530A4C">
            <w:pPr>
              <w:spacing w:before="60" w:after="60" w:line="240" w:lineRule="auto"/>
              <w:rPr>
                <w:sz w:val="20"/>
              </w:rPr>
            </w:pPr>
            <w:r w:rsidRPr="006B6723">
              <w:rPr>
                <w:sz w:val="20"/>
              </w:rPr>
              <w:t>Investing in low carbon fuels and clean energy technology, including through the Future Made in Australia Innovation Fund, complemented by work to promote and facilitate foreign direct investment to develop low carbon fuels in Australia.</w:t>
            </w:r>
          </w:p>
        </w:tc>
        <w:tc>
          <w:tcPr>
            <w:tcW w:w="1984" w:type="dxa"/>
            <w:tcBorders>
              <w:top w:val="single" w:sz="6" w:space="0" w:color="auto"/>
              <w:left w:val="single" w:sz="6" w:space="0" w:color="auto"/>
              <w:bottom w:val="single" w:sz="6" w:space="0" w:color="auto"/>
              <w:right w:val="single" w:sz="6" w:space="0" w:color="auto"/>
            </w:tcBorders>
            <w:tcMar>
              <w:left w:w="105" w:type="dxa"/>
              <w:right w:w="105" w:type="dxa"/>
            </w:tcMar>
          </w:tcPr>
          <w:p w14:paraId="3F0A58D5" w14:textId="1CD38066" w:rsidR="0015490A" w:rsidRPr="006B6723" w:rsidRDefault="0015490A" w:rsidP="00530A4C">
            <w:pPr>
              <w:spacing w:before="60" w:after="60" w:line="240" w:lineRule="auto"/>
              <w:rPr>
                <w:sz w:val="20"/>
              </w:rPr>
            </w:pPr>
            <w:r w:rsidRPr="006B6723">
              <w:rPr>
                <w:sz w:val="20"/>
              </w:rPr>
              <w:t>DCCEEW, DITRDCSA, Austrade</w:t>
            </w:r>
          </w:p>
        </w:tc>
        <w:tc>
          <w:tcPr>
            <w:tcW w:w="5779" w:type="dxa"/>
            <w:tcBorders>
              <w:top w:val="single" w:sz="6" w:space="0" w:color="auto"/>
              <w:left w:val="single" w:sz="6" w:space="0" w:color="auto"/>
              <w:bottom w:val="single" w:sz="6" w:space="0" w:color="auto"/>
              <w:right w:val="single" w:sz="6" w:space="0" w:color="auto"/>
            </w:tcBorders>
          </w:tcPr>
          <w:p w14:paraId="44D40BA6" w14:textId="4A71C256" w:rsidR="0015490A" w:rsidRPr="00937E9D" w:rsidRDefault="0015490A" w:rsidP="0028583A">
            <w:pPr>
              <w:spacing w:before="60" w:after="60" w:line="240" w:lineRule="auto"/>
              <w:rPr>
                <w:rStyle w:val="normaltextrun"/>
                <w:rFonts w:eastAsia="Verdana" w:cs="Verdana"/>
                <w:sz w:val="20"/>
                <w:szCs w:val="20"/>
              </w:rPr>
            </w:pPr>
            <w:r w:rsidRPr="00937E9D">
              <w:rPr>
                <w:rStyle w:val="normaltextrun"/>
                <w:rFonts w:eastAsia="Verdana" w:cs="Verdana"/>
                <w:sz w:val="20"/>
                <w:szCs w:val="20"/>
              </w:rPr>
              <w:t xml:space="preserve">HAMR Energy secured $32 million in conditional funding under the </w:t>
            </w:r>
            <w:hyperlink r:id="rId39" w:history="1">
              <w:r w:rsidRPr="00B570CC">
                <w:rPr>
                  <w:rStyle w:val="Hyperlink"/>
                  <w:rFonts w:eastAsia="Verdana" w:cs="Verdana"/>
                  <w:sz w:val="20"/>
                </w:rPr>
                <w:t>Future Made in Australia Innovation Fund</w:t>
              </w:r>
            </w:hyperlink>
            <w:r w:rsidRPr="00937E9D">
              <w:rPr>
                <w:rStyle w:val="normaltextrun"/>
                <w:rFonts w:eastAsia="Verdana" w:cs="Verdana"/>
                <w:sz w:val="20"/>
                <w:szCs w:val="20"/>
              </w:rPr>
              <w:t>. The funding will support HAMR Energy</w:t>
            </w:r>
            <w:r w:rsidRPr="00B0247C">
              <w:rPr>
                <w:rStyle w:val="normaltextrun"/>
                <w:rFonts w:eastAsia="Verdana" w:cs="Verdana"/>
                <w:sz w:val="20"/>
                <w:szCs w:val="20"/>
              </w:rPr>
              <w:t>,</w:t>
            </w:r>
            <w:r w:rsidRPr="00B0247C">
              <w:rPr>
                <w:rStyle w:val="normaltextrun"/>
                <w:sz w:val="20"/>
                <w:szCs w:val="20"/>
              </w:rPr>
              <w:t xml:space="preserve"> an Australia</w:t>
            </w:r>
            <w:r>
              <w:rPr>
                <w:rStyle w:val="normaltextrun"/>
                <w:sz w:val="20"/>
                <w:szCs w:val="20"/>
              </w:rPr>
              <w:t>n-</w:t>
            </w:r>
            <w:r w:rsidRPr="00B0247C">
              <w:rPr>
                <w:rStyle w:val="normaltextrun"/>
                <w:sz w:val="20"/>
                <w:szCs w:val="20"/>
              </w:rPr>
              <w:t>based renewable fuels developer,</w:t>
            </w:r>
            <w:r w:rsidRPr="00937E9D">
              <w:rPr>
                <w:rStyle w:val="normaltextrun"/>
                <w:rFonts w:eastAsia="Verdana" w:cs="Verdana"/>
                <w:sz w:val="20"/>
                <w:szCs w:val="20"/>
              </w:rPr>
              <w:t xml:space="preserve"> to conduct a Front-End Engineering Design (FEED) and other development activities for a proposed biomass-to-fuel supply chain across Victoria and South Australia.</w:t>
            </w:r>
          </w:p>
          <w:p w14:paraId="2F36F95A" w14:textId="5316E81F" w:rsidR="0015490A" w:rsidRPr="00DF1D89" w:rsidRDefault="0015490A" w:rsidP="00B168D3">
            <w:pPr>
              <w:spacing w:before="60" w:after="60" w:line="240" w:lineRule="auto"/>
              <w:rPr>
                <w:color w:val="000000" w:themeColor="text1"/>
                <w:sz w:val="20"/>
              </w:rPr>
            </w:pPr>
            <w:r w:rsidRPr="00B22ED9">
              <w:rPr>
                <w:color w:val="000000" w:themeColor="text1"/>
                <w:sz w:val="20"/>
              </w:rPr>
              <w:t xml:space="preserve">DITRDCSA and DCCEEW commenced work with ARENA to develop the Program Guidelines for the $1.1 billion </w:t>
            </w:r>
            <w:hyperlink r:id="rId40" w:history="1">
              <w:r w:rsidRPr="004D6E72">
                <w:rPr>
                  <w:rStyle w:val="Hyperlink"/>
                  <w:sz w:val="20"/>
                </w:rPr>
                <w:t>Cleaner Fuels Program</w:t>
              </w:r>
            </w:hyperlink>
            <w:r w:rsidRPr="00DF1D89">
              <w:rPr>
                <w:color w:val="000000" w:themeColor="text1"/>
                <w:sz w:val="20"/>
              </w:rPr>
              <w:t>.</w:t>
            </w:r>
          </w:p>
          <w:p w14:paraId="3C9221FF" w14:textId="4D82D520" w:rsidR="0015490A" w:rsidRPr="00B22ED9" w:rsidRDefault="0015490A" w:rsidP="00FA5617">
            <w:pPr>
              <w:pStyle w:val="ListParagraph"/>
              <w:numPr>
                <w:ilvl w:val="0"/>
                <w:numId w:val="12"/>
              </w:numPr>
              <w:spacing w:before="60" w:after="60" w:line="240" w:lineRule="auto"/>
              <w:rPr>
                <w:color w:val="000000" w:themeColor="text1"/>
                <w:sz w:val="20"/>
              </w:rPr>
            </w:pPr>
            <w:r w:rsidRPr="00B22ED9">
              <w:rPr>
                <w:color w:val="000000" w:themeColor="text1"/>
                <w:sz w:val="20"/>
              </w:rPr>
              <w:t>The Program aims to encourage domestic production of L</w:t>
            </w:r>
            <w:r>
              <w:rPr>
                <w:color w:val="000000" w:themeColor="text1"/>
                <w:sz w:val="20"/>
              </w:rPr>
              <w:t xml:space="preserve">ow </w:t>
            </w:r>
            <w:r w:rsidRPr="00B22ED9">
              <w:rPr>
                <w:color w:val="000000" w:themeColor="text1"/>
                <w:sz w:val="20"/>
              </w:rPr>
              <w:t>C</w:t>
            </w:r>
            <w:r>
              <w:rPr>
                <w:color w:val="000000" w:themeColor="text1"/>
                <w:sz w:val="20"/>
              </w:rPr>
              <w:t xml:space="preserve">arbon </w:t>
            </w:r>
            <w:r w:rsidRPr="00B22ED9">
              <w:rPr>
                <w:color w:val="000000" w:themeColor="text1"/>
                <w:sz w:val="20"/>
              </w:rPr>
              <w:t>L</w:t>
            </w:r>
            <w:r>
              <w:rPr>
                <w:color w:val="000000" w:themeColor="text1"/>
                <w:sz w:val="20"/>
              </w:rPr>
              <w:t xml:space="preserve">iquid </w:t>
            </w:r>
            <w:r w:rsidRPr="00B22ED9">
              <w:rPr>
                <w:color w:val="000000" w:themeColor="text1"/>
                <w:sz w:val="20"/>
              </w:rPr>
              <w:t>F</w:t>
            </w:r>
            <w:r>
              <w:rPr>
                <w:color w:val="000000" w:themeColor="text1"/>
                <w:sz w:val="20"/>
              </w:rPr>
              <w:t>uels (</w:t>
            </w:r>
            <w:r w:rsidRPr="00B22ED9">
              <w:rPr>
                <w:color w:val="000000" w:themeColor="text1"/>
                <w:sz w:val="20"/>
              </w:rPr>
              <w:t>LCLF</w:t>
            </w:r>
            <w:r>
              <w:rPr>
                <w:color w:val="000000" w:themeColor="text1"/>
                <w:sz w:val="20"/>
              </w:rPr>
              <w:t>)</w:t>
            </w:r>
            <w:r w:rsidRPr="00B22ED9">
              <w:rPr>
                <w:color w:val="000000" w:themeColor="text1"/>
                <w:sz w:val="20"/>
              </w:rPr>
              <w:t>, while strengthening fuel security and supporting new jobs in the net zero economy.</w:t>
            </w:r>
          </w:p>
          <w:p w14:paraId="4337C1BD" w14:textId="291EE342" w:rsidR="0015490A" w:rsidRPr="00B22ED9" w:rsidRDefault="0015490A" w:rsidP="007F7E24">
            <w:pPr>
              <w:pStyle w:val="ListParagraph"/>
              <w:numPr>
                <w:ilvl w:val="0"/>
                <w:numId w:val="12"/>
              </w:numPr>
              <w:spacing w:before="60" w:after="60" w:line="240" w:lineRule="auto"/>
              <w:rPr>
                <w:rStyle w:val="normaltextrun"/>
                <w:color w:val="000000" w:themeColor="text1"/>
                <w:sz w:val="20"/>
                <w:szCs w:val="20"/>
              </w:rPr>
            </w:pPr>
            <w:r w:rsidRPr="00452505">
              <w:rPr>
                <w:color w:val="000000" w:themeColor="text1"/>
                <w:sz w:val="20"/>
              </w:rPr>
              <w:t xml:space="preserve">ARENA has </w:t>
            </w:r>
            <w:hyperlink r:id="rId41" w:history="1">
              <w:r w:rsidRPr="00D97DB1">
                <w:rPr>
                  <w:rStyle w:val="Hyperlink"/>
                  <w:sz w:val="20"/>
                </w:rPr>
                <w:t>invited views</w:t>
              </w:r>
            </w:hyperlink>
            <w:r w:rsidRPr="00452505">
              <w:rPr>
                <w:color w:val="000000" w:themeColor="text1"/>
                <w:sz w:val="20"/>
              </w:rPr>
              <w:t xml:space="preserve"> from a wide range of stakeholders on the key elements that would inform the design of the Program, including Program eligibility and merit criteria that will apply to entities seeking to apply for funding</w:t>
            </w:r>
          </w:p>
          <w:p w14:paraId="0664D230" w14:textId="0B4DEF55" w:rsidR="0015490A" w:rsidRDefault="0015490A" w:rsidP="00530A4C">
            <w:pPr>
              <w:spacing w:before="60" w:after="60" w:line="240" w:lineRule="auto"/>
              <w:rPr>
                <w:rStyle w:val="normaltextrun"/>
                <w:rFonts w:eastAsia="Verdana" w:cs="Verdana"/>
                <w:sz w:val="20"/>
                <w:szCs w:val="20"/>
              </w:rPr>
            </w:pPr>
            <w:r w:rsidRPr="00937E9D">
              <w:rPr>
                <w:rStyle w:val="normaltextrun"/>
                <w:rFonts w:eastAsia="Verdana" w:cs="Verdana"/>
                <w:sz w:val="20"/>
                <w:szCs w:val="20"/>
              </w:rPr>
              <w:t xml:space="preserve">DITRDCSA and DCCEEW consulted on a LCLF demand mechanism between 18 August and 15 September 2026. </w:t>
            </w:r>
            <w:r w:rsidRPr="008E2859">
              <w:rPr>
                <w:rStyle w:val="normaltextrun"/>
                <w:rFonts w:eastAsia="Verdana" w:cs="Verdana"/>
                <w:sz w:val="20"/>
                <w:szCs w:val="20"/>
              </w:rPr>
              <w:t>Austrade connected international companies with expertise in LCLF to participate in webinar and roundtable consultations.</w:t>
            </w:r>
            <w:r>
              <w:rPr>
                <w:rStyle w:val="normaltextrun"/>
                <w:rFonts w:eastAsia="Verdana" w:cs="Verdana"/>
                <w:sz w:val="20"/>
                <w:szCs w:val="20"/>
              </w:rPr>
              <w:t xml:space="preserve"> </w:t>
            </w:r>
          </w:p>
          <w:p w14:paraId="4AD47170" w14:textId="5AA4FC02" w:rsidR="0015490A" w:rsidRDefault="0015490A" w:rsidP="00FA5617">
            <w:pPr>
              <w:pStyle w:val="ListParagraph"/>
              <w:numPr>
                <w:ilvl w:val="0"/>
                <w:numId w:val="16"/>
              </w:numPr>
              <w:spacing w:before="60" w:after="60" w:line="240" w:lineRule="auto"/>
              <w:rPr>
                <w:rStyle w:val="normaltextrun"/>
                <w:rFonts w:eastAsia="Verdana" w:cs="Verdana"/>
                <w:sz w:val="20"/>
                <w:szCs w:val="20"/>
              </w:rPr>
            </w:pPr>
            <w:r w:rsidRPr="00937E9D">
              <w:rPr>
                <w:rStyle w:val="normaltextrun"/>
                <w:rFonts w:eastAsia="Verdana" w:cs="Verdana"/>
                <w:sz w:val="20"/>
                <w:szCs w:val="20"/>
              </w:rPr>
              <w:t>Feedback will be used to inform advice to government on a potential LCLF demand mechanism.</w:t>
            </w:r>
          </w:p>
          <w:p w14:paraId="1285DBBD" w14:textId="2F9AF35D" w:rsidR="0015490A" w:rsidRDefault="0015490A" w:rsidP="00530A4C">
            <w:pPr>
              <w:spacing w:before="60" w:after="60" w:line="240" w:lineRule="auto"/>
              <w:rPr>
                <w:rFonts w:eastAsia="Verdana" w:cs="Verdana"/>
                <w:sz w:val="20"/>
              </w:rPr>
            </w:pPr>
            <w:r>
              <w:rPr>
                <w:rFonts w:eastAsia="Verdana" w:cs="Verdana"/>
                <w:sz w:val="20"/>
              </w:rPr>
              <w:t xml:space="preserve">At the </w:t>
            </w:r>
            <w:r w:rsidRPr="006352A2">
              <w:rPr>
                <w:rFonts w:eastAsia="Verdana" w:cs="Verdana"/>
                <w:sz w:val="20"/>
              </w:rPr>
              <w:t>Sustainable Aviation Futures</w:t>
            </w:r>
            <w:r>
              <w:rPr>
                <w:rFonts w:eastAsia="Verdana" w:cs="Verdana"/>
                <w:sz w:val="20"/>
              </w:rPr>
              <w:t xml:space="preserve"> </w:t>
            </w:r>
            <w:r w:rsidRPr="006352A2">
              <w:rPr>
                <w:rFonts w:eastAsia="Verdana" w:cs="Verdana"/>
                <w:sz w:val="20"/>
              </w:rPr>
              <w:t xml:space="preserve">China Congress (Hong Kong) </w:t>
            </w:r>
            <w:r>
              <w:rPr>
                <w:rFonts w:eastAsia="Verdana" w:cs="Verdana"/>
                <w:sz w:val="20"/>
              </w:rPr>
              <w:t xml:space="preserve">21-22 </w:t>
            </w:r>
            <w:r w:rsidRPr="006352A2">
              <w:rPr>
                <w:rFonts w:eastAsia="Verdana" w:cs="Verdana"/>
                <w:sz w:val="20"/>
              </w:rPr>
              <w:t xml:space="preserve">September </w:t>
            </w:r>
            <w:r>
              <w:rPr>
                <w:rFonts w:eastAsia="Verdana" w:cs="Verdana"/>
                <w:sz w:val="20"/>
              </w:rPr>
              <w:t xml:space="preserve">2026, </w:t>
            </w:r>
            <w:r w:rsidRPr="00A85D6E">
              <w:rPr>
                <w:rFonts w:eastAsia="Verdana" w:cs="Verdana"/>
                <w:sz w:val="20"/>
              </w:rPr>
              <w:t xml:space="preserve">Austrade Hong Kong delivered a presentation on Australia’s SAF scale-up, highlighting opportunities for Chinese investment and collaboration. </w:t>
            </w:r>
          </w:p>
          <w:p w14:paraId="550F3595" w14:textId="77777777" w:rsidR="0015490A" w:rsidRPr="0043418F" w:rsidRDefault="0015490A" w:rsidP="00FA5617">
            <w:pPr>
              <w:pStyle w:val="ListParagraph"/>
              <w:numPr>
                <w:ilvl w:val="0"/>
                <w:numId w:val="16"/>
              </w:numPr>
              <w:spacing w:before="60" w:after="60" w:line="240" w:lineRule="auto"/>
              <w:rPr>
                <w:rStyle w:val="normaltextrun"/>
                <w:rFonts w:eastAsia="Verdana" w:cs="Verdana"/>
                <w:sz w:val="20"/>
                <w:szCs w:val="20"/>
              </w:rPr>
            </w:pPr>
            <w:r w:rsidRPr="0043418F">
              <w:rPr>
                <w:rStyle w:val="normaltextrun"/>
                <w:rFonts w:eastAsia="Verdana" w:cs="Verdana"/>
                <w:sz w:val="20"/>
                <w:szCs w:val="20"/>
              </w:rPr>
              <w:t xml:space="preserve">The presentation positioned Australia as a trusted destination for SAF investment beyond Greater China and emphasised the potential for building long-term energy transition partnerships to support emerging SAF demand across the Asia-Pacific region. </w:t>
            </w:r>
          </w:p>
          <w:p w14:paraId="6ABC12DB" w14:textId="344BA53F" w:rsidR="0015490A" w:rsidRPr="006B6723" w:rsidRDefault="0015490A" w:rsidP="00FA5617">
            <w:pPr>
              <w:pStyle w:val="ListParagraph"/>
              <w:numPr>
                <w:ilvl w:val="0"/>
                <w:numId w:val="16"/>
              </w:numPr>
              <w:spacing w:before="60" w:after="60" w:line="240" w:lineRule="auto"/>
              <w:rPr>
                <w:rFonts w:eastAsia="Verdana" w:cs="Verdana"/>
                <w:sz w:val="20"/>
              </w:rPr>
            </w:pPr>
            <w:r w:rsidRPr="0043418F">
              <w:rPr>
                <w:rStyle w:val="normaltextrun"/>
                <w:rFonts w:eastAsia="Verdana" w:cs="Verdana"/>
                <w:sz w:val="20"/>
                <w:szCs w:val="20"/>
              </w:rPr>
              <w:t>In addition, Hong Kong Post hosted a SAF investor roundtable dinner alongside the conference, bringing together strategic Hong Kong investors and Australian companies to discuss renewable fuels investment landscape, explore partnership opportunities, and exchange views on future market development.</w:t>
            </w:r>
          </w:p>
        </w:tc>
        <w:tc>
          <w:tcPr>
            <w:tcW w:w="5561" w:type="dxa"/>
            <w:tcBorders>
              <w:top w:val="single" w:sz="6" w:space="0" w:color="auto"/>
              <w:left w:val="single" w:sz="6" w:space="0" w:color="auto"/>
              <w:bottom w:val="single" w:sz="6" w:space="0" w:color="auto"/>
              <w:right w:val="single" w:sz="6" w:space="0" w:color="auto"/>
            </w:tcBorders>
          </w:tcPr>
          <w:p w14:paraId="4C2C5791" w14:textId="688337E2" w:rsidR="0015490A" w:rsidRPr="00B136E9" w:rsidRDefault="0015490A" w:rsidP="00530A4C">
            <w:pPr>
              <w:spacing w:before="60" w:after="60" w:line="240" w:lineRule="auto"/>
              <w:rPr>
                <w:color w:val="000000" w:themeColor="text1"/>
              </w:rPr>
            </w:pPr>
            <w:r w:rsidRPr="00937E9D">
              <w:rPr>
                <w:rFonts w:eastAsia="Verdana" w:cs="Verdana"/>
                <w:sz w:val="20"/>
              </w:rPr>
              <w:t>The Program Guidelines for the Cleaner Fuels Program are expected to be finalised in late 2026</w:t>
            </w:r>
            <w:r>
              <w:rPr>
                <w:rFonts w:eastAsia="Verdana" w:cs="Verdana"/>
                <w:sz w:val="20"/>
              </w:rPr>
              <w:t>.</w:t>
            </w:r>
          </w:p>
        </w:tc>
      </w:tr>
      <w:tr w:rsidR="0015490A" w:rsidRPr="006B6723" w14:paraId="1B05921E" w14:textId="537D9BE5" w:rsidTr="0015490A">
        <w:trPr>
          <w:trHeight w:val="547"/>
        </w:trPr>
        <w:tc>
          <w:tcPr>
            <w:tcW w:w="971" w:type="dxa"/>
            <w:tcBorders>
              <w:top w:val="single" w:sz="6" w:space="0" w:color="auto"/>
              <w:left w:val="single" w:sz="6" w:space="0" w:color="auto"/>
              <w:bottom w:val="single" w:sz="6" w:space="0" w:color="auto"/>
              <w:right w:val="single" w:sz="6" w:space="0" w:color="auto"/>
            </w:tcBorders>
            <w:tcMar>
              <w:left w:w="105" w:type="dxa"/>
              <w:right w:w="105" w:type="dxa"/>
            </w:tcMar>
          </w:tcPr>
          <w:p w14:paraId="72D5C8D8" w14:textId="1DDFE296" w:rsidR="0015490A" w:rsidRPr="006B6723" w:rsidRDefault="0015490A" w:rsidP="00530A4C">
            <w:pPr>
              <w:spacing w:before="60" w:after="60" w:line="240" w:lineRule="auto"/>
              <w:jc w:val="center"/>
              <w:rPr>
                <w:rStyle w:val="normaltextrun"/>
                <w:rFonts w:eastAsia="Verdana" w:cs="Verdana"/>
                <w:b/>
                <w:bCs/>
                <w:sz w:val="20"/>
                <w:szCs w:val="20"/>
              </w:rPr>
            </w:pPr>
            <w:r w:rsidRPr="006B6723">
              <w:rPr>
                <w:sz w:val="20"/>
                <w:lang w:val="en-US"/>
              </w:rPr>
              <w:lastRenderedPageBreak/>
              <w:t>4.5</w:t>
            </w:r>
          </w:p>
        </w:tc>
        <w:tc>
          <w:tcPr>
            <w:tcW w:w="5125" w:type="dxa"/>
            <w:tcBorders>
              <w:top w:val="single" w:sz="6" w:space="0" w:color="auto"/>
              <w:left w:val="single" w:sz="6" w:space="0" w:color="auto"/>
              <w:bottom w:val="single" w:sz="6" w:space="0" w:color="auto"/>
              <w:right w:val="single" w:sz="6" w:space="0" w:color="auto"/>
            </w:tcBorders>
            <w:tcMar>
              <w:left w:w="105" w:type="dxa"/>
              <w:right w:w="105" w:type="dxa"/>
            </w:tcMar>
          </w:tcPr>
          <w:p w14:paraId="0E86FC7C" w14:textId="428FDB68" w:rsidR="0015490A" w:rsidRPr="006B6723" w:rsidRDefault="0015490A" w:rsidP="00530A4C">
            <w:pPr>
              <w:spacing w:before="60" w:after="60" w:line="240" w:lineRule="auto"/>
              <w:rPr>
                <w:sz w:val="20"/>
              </w:rPr>
            </w:pPr>
            <w:r w:rsidRPr="006B6723">
              <w:rPr>
                <w:sz w:val="20"/>
              </w:rPr>
              <w:t>Embedding the WELCOME Framework principles into tourism industry practices, enhancing accessibility in aviation and increasing opportunities for people with disability to access national parks, beaches and play spaces through the $17.1 million investment in the Accessible Australia program.</w:t>
            </w:r>
          </w:p>
        </w:tc>
        <w:tc>
          <w:tcPr>
            <w:tcW w:w="1984" w:type="dxa"/>
            <w:tcBorders>
              <w:top w:val="single" w:sz="6" w:space="0" w:color="auto"/>
              <w:left w:val="single" w:sz="6" w:space="0" w:color="auto"/>
              <w:bottom w:val="single" w:sz="6" w:space="0" w:color="auto"/>
              <w:right w:val="single" w:sz="6" w:space="0" w:color="auto"/>
            </w:tcBorders>
            <w:tcMar>
              <w:left w:w="105" w:type="dxa"/>
              <w:right w:w="105" w:type="dxa"/>
            </w:tcMar>
          </w:tcPr>
          <w:p w14:paraId="6B90D7D1" w14:textId="04F95AC8" w:rsidR="0015490A" w:rsidRPr="006B6723" w:rsidRDefault="0015490A" w:rsidP="00530A4C">
            <w:pPr>
              <w:spacing w:before="60" w:after="60" w:line="240" w:lineRule="auto"/>
              <w:rPr>
                <w:sz w:val="20"/>
              </w:rPr>
            </w:pPr>
            <w:r w:rsidRPr="006B6723">
              <w:rPr>
                <w:sz w:val="20"/>
              </w:rPr>
              <w:t>Austrade, Tourism Australia, Department of Health, Disability and Ageing, DITRDCSA</w:t>
            </w:r>
          </w:p>
        </w:tc>
        <w:tc>
          <w:tcPr>
            <w:tcW w:w="5779" w:type="dxa"/>
            <w:tcBorders>
              <w:top w:val="single" w:sz="6" w:space="0" w:color="auto"/>
              <w:left w:val="single" w:sz="6" w:space="0" w:color="auto"/>
              <w:bottom w:val="single" w:sz="6" w:space="0" w:color="auto"/>
              <w:right w:val="single" w:sz="6" w:space="0" w:color="auto"/>
            </w:tcBorders>
          </w:tcPr>
          <w:p w14:paraId="036D5C8C" w14:textId="6F5F99CD" w:rsidR="0015490A" w:rsidRPr="00CD00D3" w:rsidRDefault="0015490A" w:rsidP="00FE5BBC">
            <w:pPr>
              <w:spacing w:before="60" w:after="60" w:line="240" w:lineRule="auto"/>
              <w:rPr>
                <w:rFonts w:eastAsia="Verdana" w:cs="Verdana"/>
                <w:sz w:val="20"/>
              </w:rPr>
            </w:pPr>
            <w:r w:rsidRPr="00CD00D3">
              <w:rPr>
                <w:rFonts w:eastAsia="Verdana" w:cs="Verdana"/>
                <w:sz w:val="20"/>
              </w:rPr>
              <w:t xml:space="preserve">Tranche 2 of </w:t>
            </w:r>
            <w:hyperlink r:id="rId42" w:history="1">
              <w:r w:rsidRPr="00E53E92">
                <w:rPr>
                  <w:rStyle w:val="Hyperlink"/>
                  <w:rFonts w:eastAsia="Verdana" w:cs="Verdana"/>
                  <w:sz w:val="20"/>
                </w:rPr>
                <w:t>Accessible Australia</w:t>
              </w:r>
            </w:hyperlink>
            <w:r>
              <w:rPr>
                <w:rFonts w:eastAsia="Verdana" w:cs="Verdana"/>
                <w:sz w:val="20"/>
              </w:rPr>
              <w:t xml:space="preserve">, the </w:t>
            </w:r>
            <w:r w:rsidRPr="00BE0614">
              <w:rPr>
                <w:rFonts w:eastAsia="Verdana" w:cs="Verdana"/>
                <w:sz w:val="20"/>
              </w:rPr>
              <w:t>national program that funds accessibility improvements to community spaces</w:t>
            </w:r>
            <w:r>
              <w:rPr>
                <w:rFonts w:eastAsia="Verdana" w:cs="Verdana"/>
                <w:sz w:val="20"/>
              </w:rPr>
              <w:t xml:space="preserve"> </w:t>
            </w:r>
            <w:r w:rsidRPr="00BE0614">
              <w:rPr>
                <w:rFonts w:eastAsia="Verdana" w:cs="Verdana"/>
                <w:sz w:val="20"/>
              </w:rPr>
              <w:t>to improve access for people with disability</w:t>
            </w:r>
            <w:r>
              <w:rPr>
                <w:rFonts w:eastAsia="Verdana" w:cs="Verdana"/>
                <w:sz w:val="20"/>
              </w:rPr>
              <w:t>,</w:t>
            </w:r>
            <w:r w:rsidRPr="00CD00D3">
              <w:rPr>
                <w:rFonts w:eastAsia="Verdana" w:cs="Verdana"/>
                <w:sz w:val="20"/>
              </w:rPr>
              <w:t xml:space="preserve"> </w:t>
            </w:r>
            <w:r w:rsidRPr="001A660C">
              <w:rPr>
                <w:rFonts w:eastAsia="Verdana" w:cs="Verdana"/>
                <w:sz w:val="20"/>
              </w:rPr>
              <w:t xml:space="preserve">was delivered with Commonwealth funding committed in June 2026 </w:t>
            </w:r>
            <w:r w:rsidRPr="00CD00D3">
              <w:rPr>
                <w:rFonts w:eastAsia="Verdana" w:cs="Verdana"/>
                <w:sz w:val="20"/>
              </w:rPr>
              <w:t>to 37 accessible amenity projects across NSW, ACT, SA, WA, TAS, NT and VIC</w:t>
            </w:r>
            <w:r>
              <w:rPr>
                <w:rFonts w:eastAsia="Verdana" w:cs="Verdana"/>
                <w:sz w:val="20"/>
              </w:rPr>
              <w:t xml:space="preserve">. </w:t>
            </w:r>
            <w:r w:rsidRPr="00CD00D3">
              <w:rPr>
                <w:rFonts w:eastAsia="Verdana" w:cs="Verdana"/>
                <w:sz w:val="20"/>
              </w:rPr>
              <w:t xml:space="preserve">Stakeholder engagement meetings </w:t>
            </w:r>
            <w:r>
              <w:rPr>
                <w:rFonts w:eastAsia="Verdana" w:cs="Verdana"/>
                <w:sz w:val="20"/>
              </w:rPr>
              <w:t>were</w:t>
            </w:r>
            <w:r w:rsidRPr="00CD00D3">
              <w:rPr>
                <w:rFonts w:eastAsia="Verdana" w:cs="Verdana"/>
                <w:sz w:val="20"/>
              </w:rPr>
              <w:t xml:space="preserve"> </w:t>
            </w:r>
            <w:r>
              <w:rPr>
                <w:rFonts w:eastAsia="Verdana" w:cs="Verdana"/>
                <w:sz w:val="20"/>
              </w:rPr>
              <w:t>held</w:t>
            </w:r>
            <w:r w:rsidRPr="00CD00D3">
              <w:rPr>
                <w:rFonts w:eastAsia="Verdana" w:cs="Verdana"/>
                <w:sz w:val="20"/>
              </w:rPr>
              <w:t xml:space="preserve"> with all state and territory governments.</w:t>
            </w:r>
            <w:r>
              <w:rPr>
                <w:rFonts w:eastAsia="Verdana" w:cs="Verdana"/>
                <w:sz w:val="20"/>
              </w:rPr>
              <w:t xml:space="preserve"> </w:t>
            </w:r>
          </w:p>
          <w:p w14:paraId="2B59DDFB" w14:textId="774567EC" w:rsidR="0015490A" w:rsidRPr="00CD00D3" w:rsidRDefault="0015490A" w:rsidP="00526A1B">
            <w:pPr>
              <w:spacing w:before="60" w:after="60" w:line="240" w:lineRule="auto"/>
              <w:rPr>
                <w:rFonts w:eastAsia="Verdana" w:cs="Verdana"/>
                <w:sz w:val="20"/>
              </w:rPr>
            </w:pPr>
            <w:r w:rsidRPr="00230D7A">
              <w:rPr>
                <w:rFonts w:eastAsia="Verdana" w:cs="Verdana"/>
                <w:sz w:val="20"/>
              </w:rPr>
              <w:t xml:space="preserve">Tourism Australia continued to embed accessibility within </w:t>
            </w:r>
            <w:r>
              <w:rPr>
                <w:rFonts w:eastAsia="Verdana" w:cs="Verdana"/>
                <w:sz w:val="20"/>
              </w:rPr>
              <w:t xml:space="preserve">its </w:t>
            </w:r>
            <w:r w:rsidRPr="00230D7A">
              <w:rPr>
                <w:rFonts w:eastAsia="Verdana" w:cs="Verdana"/>
                <w:sz w:val="20"/>
              </w:rPr>
              <w:t>creative development and talent casting processes, including in marketing activity ahead of the Brisbane 2032 Games Emblem launch.</w:t>
            </w:r>
          </w:p>
          <w:p w14:paraId="59868B6C" w14:textId="55356B0A" w:rsidR="0015490A" w:rsidRPr="006B6723" w:rsidRDefault="0015490A" w:rsidP="00ED3C4D">
            <w:pPr>
              <w:pStyle w:val="ListParagraph"/>
              <w:numPr>
                <w:ilvl w:val="0"/>
                <w:numId w:val="12"/>
              </w:numPr>
              <w:spacing w:before="60" w:after="60" w:line="240" w:lineRule="auto"/>
              <w:rPr>
                <w:rFonts w:eastAsia="Verdana" w:cs="Verdana"/>
                <w:sz w:val="20"/>
              </w:rPr>
            </w:pPr>
            <w:r w:rsidRPr="00CF779D">
              <w:rPr>
                <w:rStyle w:val="normaltextrun"/>
                <w:rFonts w:eastAsia="Verdana" w:cs="Verdana"/>
                <w:sz w:val="20"/>
                <w:szCs w:val="20"/>
              </w:rPr>
              <w:t>Tourism Australia hosted Connor Tomlinson, star of Netflix’s Emmy Award-winning Love on the Spectrum U.S., in QLD, NT and NSW, and UK based adventurer and amputee Luke Tarrant in the NT, SA and QLD.</w:t>
            </w:r>
          </w:p>
        </w:tc>
        <w:tc>
          <w:tcPr>
            <w:tcW w:w="5561" w:type="dxa"/>
            <w:tcBorders>
              <w:top w:val="single" w:sz="6" w:space="0" w:color="auto"/>
              <w:left w:val="single" w:sz="6" w:space="0" w:color="auto"/>
              <w:bottom w:val="single" w:sz="6" w:space="0" w:color="auto"/>
              <w:right w:val="single" w:sz="6" w:space="0" w:color="auto"/>
            </w:tcBorders>
          </w:tcPr>
          <w:p w14:paraId="7C3B400A" w14:textId="184D5E50" w:rsidR="0015490A" w:rsidRPr="00CD00D3" w:rsidRDefault="0015490A" w:rsidP="00526A1B">
            <w:pPr>
              <w:spacing w:before="60" w:after="60" w:line="240" w:lineRule="auto"/>
              <w:rPr>
                <w:rFonts w:eastAsia="Verdana" w:cs="Verdana"/>
                <w:sz w:val="20"/>
              </w:rPr>
            </w:pPr>
            <w:r w:rsidRPr="00CD00D3">
              <w:rPr>
                <w:rFonts w:eastAsia="Verdana" w:cs="Verdana"/>
                <w:sz w:val="20"/>
              </w:rPr>
              <w:t>Tranche 3 of Accessible Australia is expected to open in October 2026 and will remain open for applications until early 2027.</w:t>
            </w:r>
          </w:p>
          <w:p w14:paraId="2488BB4B" w14:textId="4B2A6AAB" w:rsidR="0015490A" w:rsidRDefault="0015490A" w:rsidP="00526A1B">
            <w:pPr>
              <w:spacing w:before="60" w:after="60" w:line="240" w:lineRule="auto"/>
              <w:rPr>
                <w:rFonts w:eastAsia="Verdana" w:cs="Verdana"/>
                <w:sz w:val="20"/>
              </w:rPr>
            </w:pPr>
            <w:r w:rsidRPr="00230D7A">
              <w:rPr>
                <w:rFonts w:eastAsia="Verdana" w:cs="Verdana"/>
                <w:sz w:val="20"/>
              </w:rPr>
              <w:t xml:space="preserve">Tourism Australia will continue to deliver on </w:t>
            </w:r>
            <w:r>
              <w:rPr>
                <w:rFonts w:eastAsia="Verdana" w:cs="Verdana"/>
                <w:sz w:val="20"/>
              </w:rPr>
              <w:t xml:space="preserve">its </w:t>
            </w:r>
            <w:r w:rsidRPr="00230D7A">
              <w:rPr>
                <w:rFonts w:eastAsia="Verdana" w:cs="Verdana"/>
                <w:sz w:val="20"/>
              </w:rPr>
              <w:t>partnership with the Shift20 Initiative, spearheaded by Dylan Alcott AO.</w:t>
            </w:r>
            <w:r>
              <w:rPr>
                <w:rFonts w:eastAsia="Verdana" w:cs="Verdana"/>
                <w:sz w:val="20"/>
              </w:rPr>
              <w:t xml:space="preserve"> </w:t>
            </w:r>
            <w:r w:rsidRPr="00230D7A">
              <w:rPr>
                <w:rFonts w:eastAsia="Verdana" w:cs="Verdana"/>
                <w:sz w:val="20"/>
              </w:rPr>
              <w:t>Tourism Australia will host Allie Mason, a UK-based journalist who specialises in accessible and neuroinclusive travel</w:t>
            </w:r>
            <w:r>
              <w:rPr>
                <w:rFonts w:eastAsia="Verdana" w:cs="Verdana"/>
                <w:sz w:val="20"/>
              </w:rPr>
              <w:t xml:space="preserve">, </w:t>
            </w:r>
            <w:r w:rsidRPr="00230D7A">
              <w:rPr>
                <w:rFonts w:eastAsia="Verdana" w:cs="Verdana"/>
                <w:sz w:val="20"/>
              </w:rPr>
              <w:t>and is writing for several top UK publications, including Disability Review Magazine, Selling Travel, and TTG Media.</w:t>
            </w:r>
          </w:p>
          <w:p w14:paraId="6D66731D" w14:textId="1FBF5597" w:rsidR="0015490A" w:rsidRPr="00CD00D3" w:rsidRDefault="0015490A" w:rsidP="00526A1B">
            <w:pPr>
              <w:spacing w:before="60" w:after="60" w:line="240" w:lineRule="auto"/>
              <w:rPr>
                <w:rFonts w:eastAsia="Verdana" w:cs="Verdana"/>
                <w:sz w:val="20"/>
              </w:rPr>
            </w:pPr>
            <w:r>
              <w:rPr>
                <w:rFonts w:eastAsia="Verdana" w:cs="Verdana"/>
                <w:sz w:val="20"/>
              </w:rPr>
              <w:t>The next meeting of the National Accessible Tourism Working Group will occur in 2026 (aimed November 2026).</w:t>
            </w:r>
          </w:p>
          <w:p w14:paraId="6E904935" w14:textId="77777777" w:rsidR="0015490A" w:rsidRDefault="0015490A" w:rsidP="00DC3EF6">
            <w:pPr>
              <w:spacing w:before="60" w:after="60" w:line="240" w:lineRule="auto"/>
              <w:rPr>
                <w:sz w:val="20"/>
              </w:rPr>
            </w:pPr>
            <w:r>
              <w:rPr>
                <w:sz w:val="20"/>
              </w:rPr>
              <w:t xml:space="preserve">The Government will consider the Aviation Disability standards </w:t>
            </w:r>
            <w:r w:rsidRPr="00A00BDD">
              <w:rPr>
                <w:sz w:val="20"/>
              </w:rPr>
              <w:t xml:space="preserve">consultation </w:t>
            </w:r>
            <w:r>
              <w:rPr>
                <w:sz w:val="20"/>
              </w:rPr>
              <w:t xml:space="preserve">paper. </w:t>
            </w:r>
          </w:p>
          <w:p w14:paraId="199F9AE2" w14:textId="77777777" w:rsidR="0015490A" w:rsidRPr="00230D7A" w:rsidRDefault="0015490A" w:rsidP="00530A4C">
            <w:pPr>
              <w:spacing w:before="60" w:after="60" w:line="240" w:lineRule="auto"/>
              <w:rPr>
                <w:rFonts w:eastAsia="Verdana" w:cs="Verdana"/>
                <w:sz w:val="20"/>
              </w:rPr>
            </w:pPr>
          </w:p>
        </w:tc>
      </w:tr>
      <w:tr w:rsidR="0015490A" w:rsidRPr="006B6723" w14:paraId="2C0F9CF7" w14:textId="7BB9528C" w:rsidTr="0015490A">
        <w:trPr>
          <w:cnfStyle w:val="000000100000" w:firstRow="0" w:lastRow="0" w:firstColumn="0" w:lastColumn="0" w:oddVBand="0" w:evenVBand="0" w:oddHBand="1" w:evenHBand="0" w:firstRowFirstColumn="0" w:firstRowLastColumn="0" w:lastRowFirstColumn="0" w:lastRowLastColumn="0"/>
          <w:trHeight w:val="920"/>
        </w:trPr>
        <w:tc>
          <w:tcPr>
            <w:tcW w:w="971" w:type="dxa"/>
            <w:tcBorders>
              <w:top w:val="single" w:sz="6" w:space="0" w:color="auto"/>
              <w:left w:val="single" w:sz="6" w:space="0" w:color="auto"/>
              <w:bottom w:val="single" w:sz="6" w:space="0" w:color="auto"/>
              <w:right w:val="single" w:sz="6" w:space="0" w:color="auto"/>
            </w:tcBorders>
            <w:tcMar>
              <w:left w:w="105" w:type="dxa"/>
              <w:right w:w="105" w:type="dxa"/>
            </w:tcMar>
          </w:tcPr>
          <w:p w14:paraId="0AD69A2A" w14:textId="310457C7" w:rsidR="0015490A" w:rsidRPr="006B6723" w:rsidRDefault="0015490A" w:rsidP="00530A4C">
            <w:pPr>
              <w:spacing w:before="60" w:after="60" w:line="240" w:lineRule="auto"/>
              <w:jc w:val="center"/>
              <w:rPr>
                <w:sz w:val="20"/>
                <w:lang w:val="en-US"/>
              </w:rPr>
            </w:pPr>
            <w:r w:rsidRPr="00692674">
              <w:rPr>
                <w:sz w:val="20"/>
                <w:lang w:val="en-US"/>
              </w:rPr>
              <w:t>4.6</w:t>
            </w:r>
          </w:p>
        </w:tc>
        <w:tc>
          <w:tcPr>
            <w:tcW w:w="5125" w:type="dxa"/>
            <w:tcBorders>
              <w:top w:val="single" w:sz="6" w:space="0" w:color="auto"/>
              <w:left w:val="single" w:sz="6" w:space="0" w:color="auto"/>
              <w:bottom w:val="single" w:sz="6" w:space="0" w:color="auto"/>
              <w:right w:val="single" w:sz="6" w:space="0" w:color="auto"/>
            </w:tcBorders>
            <w:tcMar>
              <w:left w:w="105" w:type="dxa"/>
              <w:right w:w="105" w:type="dxa"/>
            </w:tcMar>
          </w:tcPr>
          <w:p w14:paraId="65E4F4B4" w14:textId="28C17DD3" w:rsidR="0015490A" w:rsidRPr="006B6723" w:rsidRDefault="0015490A" w:rsidP="00530A4C">
            <w:pPr>
              <w:spacing w:before="60" w:after="60" w:line="240" w:lineRule="auto"/>
              <w:rPr>
                <w:sz w:val="20"/>
              </w:rPr>
            </w:pPr>
            <w:r w:rsidRPr="006B6723">
              <w:rPr>
                <w:sz w:val="20"/>
              </w:rPr>
              <w:t>Working across government on opportunities to adjust policy and program settings to increase First Nations peoples’ participation in the visitor economy; enhance First Nations tourism product and experiences; and improve data on First Nations tourism.</w:t>
            </w:r>
          </w:p>
        </w:tc>
        <w:tc>
          <w:tcPr>
            <w:tcW w:w="1984" w:type="dxa"/>
            <w:tcBorders>
              <w:top w:val="single" w:sz="6" w:space="0" w:color="auto"/>
              <w:left w:val="single" w:sz="6" w:space="0" w:color="auto"/>
              <w:bottom w:val="single" w:sz="6" w:space="0" w:color="auto"/>
              <w:right w:val="single" w:sz="6" w:space="0" w:color="auto"/>
            </w:tcBorders>
            <w:tcMar>
              <w:left w:w="105" w:type="dxa"/>
              <w:right w:w="105" w:type="dxa"/>
            </w:tcMar>
          </w:tcPr>
          <w:p w14:paraId="1B8C871E" w14:textId="2092EABD" w:rsidR="0015490A" w:rsidRPr="006B6723" w:rsidRDefault="0015490A" w:rsidP="00530A4C">
            <w:pPr>
              <w:spacing w:before="60" w:after="60" w:line="240" w:lineRule="auto"/>
              <w:rPr>
                <w:sz w:val="20"/>
              </w:rPr>
            </w:pPr>
            <w:r w:rsidRPr="006B6723">
              <w:rPr>
                <w:sz w:val="20"/>
              </w:rPr>
              <w:t xml:space="preserve">Austrade </w:t>
            </w:r>
            <w:r w:rsidRPr="006B6723">
              <w:rPr>
                <w:i/>
                <w:iCs/>
                <w:sz w:val="20"/>
              </w:rPr>
              <w:t>(NIAA)</w:t>
            </w:r>
          </w:p>
        </w:tc>
        <w:tc>
          <w:tcPr>
            <w:tcW w:w="5779" w:type="dxa"/>
            <w:tcBorders>
              <w:top w:val="single" w:sz="6" w:space="0" w:color="auto"/>
              <w:left w:val="single" w:sz="6" w:space="0" w:color="auto"/>
              <w:bottom w:val="single" w:sz="6" w:space="0" w:color="auto"/>
              <w:right w:val="single" w:sz="6" w:space="0" w:color="auto"/>
            </w:tcBorders>
          </w:tcPr>
          <w:p w14:paraId="169B85E9" w14:textId="6232C92F" w:rsidR="0015490A" w:rsidRDefault="0015490A" w:rsidP="00600E06">
            <w:pPr>
              <w:spacing w:before="60" w:after="60" w:line="240" w:lineRule="auto"/>
              <w:rPr>
                <w:sz w:val="20"/>
              </w:rPr>
            </w:pPr>
            <w:r w:rsidRPr="006B6723">
              <w:rPr>
                <w:rFonts w:eastAsia="Verdana" w:cs="Verdana"/>
                <w:sz w:val="20"/>
              </w:rPr>
              <w:t xml:space="preserve">Work on the First Nations Business Count </w:t>
            </w:r>
            <w:r w:rsidRPr="008619FB">
              <w:rPr>
                <w:sz w:val="20"/>
              </w:rPr>
              <w:t>project</w:t>
            </w:r>
            <w:r>
              <w:rPr>
                <w:sz w:val="20"/>
              </w:rPr>
              <w:t>,</w:t>
            </w:r>
            <w:r w:rsidRPr="006B6723">
              <w:rPr>
                <w:sz w:val="20"/>
              </w:rPr>
              <w:t xml:space="preserve"> </w:t>
            </w:r>
            <w:r>
              <w:rPr>
                <w:sz w:val="20"/>
              </w:rPr>
              <w:t xml:space="preserve">commissioned by Austrade (through Tourism Research Australia) in collaboration with States and Territories </w:t>
            </w:r>
            <w:r w:rsidRPr="008619FB">
              <w:rPr>
                <w:sz w:val="20"/>
              </w:rPr>
              <w:t>commence</w:t>
            </w:r>
            <w:r>
              <w:rPr>
                <w:sz w:val="20"/>
              </w:rPr>
              <w:t>d</w:t>
            </w:r>
            <w:r w:rsidRPr="008619FB">
              <w:rPr>
                <w:sz w:val="20"/>
              </w:rPr>
              <w:t xml:space="preserve"> </w:t>
            </w:r>
            <w:r>
              <w:rPr>
                <w:sz w:val="20"/>
              </w:rPr>
              <w:t xml:space="preserve">in </w:t>
            </w:r>
            <w:r w:rsidRPr="008619FB">
              <w:rPr>
                <w:sz w:val="20"/>
              </w:rPr>
              <w:t>July 2026</w:t>
            </w:r>
            <w:r>
              <w:rPr>
                <w:sz w:val="20"/>
              </w:rPr>
              <w:t>.</w:t>
            </w:r>
          </w:p>
          <w:p w14:paraId="055CC023" w14:textId="51F077BB" w:rsidR="0015490A" w:rsidRPr="005E465E" w:rsidRDefault="0015490A" w:rsidP="0036362F">
            <w:pPr>
              <w:pStyle w:val="ListParagraph"/>
              <w:numPr>
                <w:ilvl w:val="0"/>
                <w:numId w:val="12"/>
              </w:numPr>
              <w:spacing w:before="60" w:after="60" w:line="240" w:lineRule="auto"/>
              <w:rPr>
                <w:sz w:val="20"/>
              </w:rPr>
            </w:pPr>
            <w:r w:rsidRPr="005E465E">
              <w:rPr>
                <w:sz w:val="20"/>
              </w:rPr>
              <w:t>The project quantifies</w:t>
            </w:r>
            <w:r w:rsidRPr="008619FB">
              <w:rPr>
                <w:sz w:val="20"/>
              </w:rPr>
              <w:t xml:space="preserve"> the </w:t>
            </w:r>
            <w:r w:rsidRPr="005E465E">
              <w:rPr>
                <w:sz w:val="20"/>
              </w:rPr>
              <w:t>number of First Nations tourism businesses in Australia, to help improve policy and program settings, support the development of enhanced tourism products and experiences, and enable measurement of the contribution of the sector to regional, state and national economic activity.</w:t>
            </w:r>
          </w:p>
          <w:p w14:paraId="30BB67D0" w14:textId="3FED1573" w:rsidR="0015490A" w:rsidRDefault="0015490A" w:rsidP="0036362F">
            <w:pPr>
              <w:pStyle w:val="ListParagraph"/>
              <w:numPr>
                <w:ilvl w:val="0"/>
                <w:numId w:val="12"/>
              </w:numPr>
              <w:spacing w:before="60" w:after="60" w:line="240" w:lineRule="auto"/>
              <w:rPr>
                <w:sz w:val="20"/>
              </w:rPr>
            </w:pPr>
            <w:r w:rsidRPr="005E465E">
              <w:rPr>
                <w:sz w:val="20"/>
              </w:rPr>
              <w:t>The contractor</w:t>
            </w:r>
            <w:r w:rsidRPr="008619FB">
              <w:rPr>
                <w:sz w:val="20"/>
              </w:rPr>
              <w:t>, Painted Dog</w:t>
            </w:r>
            <w:r w:rsidRPr="005E465E">
              <w:rPr>
                <w:sz w:val="20"/>
              </w:rPr>
              <w:t xml:space="preserve"> Research,</w:t>
            </w:r>
            <w:r>
              <w:rPr>
                <w:sz w:val="20"/>
              </w:rPr>
              <w:t xml:space="preserve"> provided a progress update to the Tourism Research Committee on 21 October. </w:t>
            </w:r>
          </w:p>
          <w:p w14:paraId="14BA9A6F" w14:textId="77777777" w:rsidR="0015490A" w:rsidRDefault="0015490A" w:rsidP="00530A4C">
            <w:pPr>
              <w:spacing w:before="60" w:after="60" w:line="240" w:lineRule="auto"/>
              <w:rPr>
                <w:rFonts w:eastAsia="Verdana" w:cs="Verdana"/>
                <w:sz w:val="20"/>
              </w:rPr>
            </w:pPr>
            <w:r w:rsidRPr="0033633B">
              <w:rPr>
                <w:rFonts w:eastAsia="Verdana" w:cs="Verdana"/>
                <w:sz w:val="20"/>
              </w:rPr>
              <w:t>The National First Nations Visitor Economy Partnership (</w:t>
            </w:r>
            <w:r w:rsidRPr="00230A15">
              <w:rPr>
                <w:rFonts w:eastAsia="Verdana" w:cs="Verdana"/>
                <w:sz w:val="20"/>
              </w:rPr>
              <w:t>the Partnership</w:t>
            </w:r>
            <w:r w:rsidRPr="0033633B">
              <w:rPr>
                <w:rFonts w:eastAsia="Verdana" w:cs="Verdana"/>
                <w:sz w:val="20"/>
              </w:rPr>
              <w:t xml:space="preserve">) </w:t>
            </w:r>
            <w:r>
              <w:rPr>
                <w:rFonts w:eastAsia="Verdana" w:cs="Verdana"/>
                <w:sz w:val="20"/>
              </w:rPr>
              <w:t>continued collaboration</w:t>
            </w:r>
            <w:r w:rsidRPr="0033633B">
              <w:rPr>
                <w:rFonts w:eastAsia="Verdana" w:cs="Verdana"/>
                <w:sz w:val="20"/>
              </w:rPr>
              <w:t xml:space="preserve"> with the National Indigenous Australians Agency (NIAA) and Austrade, to identify how the First Nations business sector and Government </w:t>
            </w:r>
            <w:r>
              <w:rPr>
                <w:rFonts w:eastAsia="Verdana" w:cs="Verdana"/>
                <w:sz w:val="20"/>
              </w:rPr>
              <w:t>can</w:t>
            </w:r>
            <w:r w:rsidRPr="0033633B">
              <w:rPr>
                <w:rFonts w:eastAsia="Verdana" w:cs="Verdana"/>
                <w:sz w:val="20"/>
              </w:rPr>
              <w:t xml:space="preserve"> leverage the Brisbane 2032 Olympic and Paralympic Games to strengthen the First Nations Visitor economy.</w:t>
            </w:r>
          </w:p>
          <w:p w14:paraId="7ACE15FF" w14:textId="491B2604" w:rsidR="0015490A" w:rsidRDefault="0015490A" w:rsidP="00530A4C">
            <w:pPr>
              <w:spacing w:before="60" w:after="60" w:line="240" w:lineRule="auto"/>
              <w:rPr>
                <w:rFonts w:eastAsia="Verdana" w:cs="Verdana"/>
                <w:sz w:val="20"/>
              </w:rPr>
            </w:pPr>
            <w:r w:rsidRPr="5D0C02C8">
              <w:rPr>
                <w:rFonts w:eastAsia="Verdana" w:cs="Verdana"/>
                <w:sz w:val="20"/>
              </w:rPr>
              <w:t xml:space="preserve">The </w:t>
            </w:r>
            <w:r w:rsidRPr="7D3C4B8B">
              <w:rPr>
                <w:rFonts w:eastAsia="Verdana" w:cs="Verdana"/>
                <w:sz w:val="20"/>
              </w:rPr>
              <w:t xml:space="preserve">Australian </w:t>
            </w:r>
            <w:r w:rsidRPr="01CAAC5D">
              <w:rPr>
                <w:rFonts w:eastAsia="Verdana" w:cs="Verdana"/>
                <w:sz w:val="20"/>
              </w:rPr>
              <w:t>Government</w:t>
            </w:r>
            <w:r w:rsidRPr="5379BE5C">
              <w:rPr>
                <w:rFonts w:eastAsia="Verdana" w:cs="Verdana"/>
                <w:sz w:val="20"/>
              </w:rPr>
              <w:t xml:space="preserve"> helped </w:t>
            </w:r>
            <w:r w:rsidRPr="67289FAE">
              <w:rPr>
                <w:rFonts w:eastAsia="Verdana" w:cs="Verdana"/>
                <w:sz w:val="20"/>
              </w:rPr>
              <w:t>fund</w:t>
            </w:r>
            <w:r w:rsidRPr="5D0C02C8">
              <w:rPr>
                <w:rFonts w:eastAsia="Verdana" w:cs="Verdana"/>
                <w:sz w:val="20"/>
              </w:rPr>
              <w:t xml:space="preserve"> the Western Australian Indigenous Tourism Operators Council (</w:t>
            </w:r>
            <w:hyperlink r:id="rId43">
              <w:r w:rsidRPr="5D0C02C8">
                <w:rPr>
                  <w:rStyle w:val="Hyperlink"/>
                  <w:rFonts w:eastAsia="Verdana" w:cs="Verdana"/>
                  <w:sz w:val="20"/>
                  <w:u w:val="none"/>
                </w:rPr>
                <w:t>WAITOC</w:t>
              </w:r>
            </w:hyperlink>
            <w:r w:rsidRPr="5D0C02C8">
              <w:rPr>
                <w:rFonts w:eastAsia="Verdana" w:cs="Verdana"/>
                <w:sz w:val="20"/>
              </w:rPr>
              <w:t>)</w:t>
            </w:r>
            <w:r w:rsidRPr="5D0C02C8">
              <w:rPr>
                <w:rFonts w:eastAsia="Verdana" w:cs="Verdana"/>
                <w:b/>
                <w:bCs/>
                <w:sz w:val="20"/>
              </w:rPr>
              <w:t xml:space="preserve"> </w:t>
            </w:r>
            <w:r w:rsidRPr="5D0C02C8">
              <w:rPr>
                <w:rFonts w:eastAsia="Verdana" w:cs="Verdana"/>
                <w:sz w:val="20"/>
              </w:rPr>
              <w:t xml:space="preserve">report, </w:t>
            </w:r>
            <w:hyperlink r:id="rId44">
              <w:r w:rsidRPr="5D0C02C8">
                <w:rPr>
                  <w:rStyle w:val="Hyperlink"/>
                  <w:rFonts w:eastAsia="Verdana" w:cs="Verdana"/>
                  <w:i/>
                  <w:iCs/>
                  <w:sz w:val="20"/>
                </w:rPr>
                <w:t>Ancient Cultures Meet: Chinese Travellers' Perceptions and Demand for Australian First Nations Tourism Experiences</w:t>
              </w:r>
              <w:r w:rsidRPr="5D0C02C8">
                <w:rPr>
                  <w:rStyle w:val="Hyperlink"/>
                  <w:rFonts w:eastAsia="Verdana" w:cs="Verdana"/>
                  <w:sz w:val="20"/>
                </w:rPr>
                <w:t xml:space="preserve">, </w:t>
              </w:r>
              <w:r w:rsidRPr="16AD8CA0">
                <w:rPr>
                  <w:rStyle w:val="Hyperlink"/>
                  <w:rFonts w:eastAsia="Verdana" w:cs="Verdana"/>
                  <w:sz w:val="20"/>
                  <w:u w:val="none"/>
                </w:rPr>
                <w:t xml:space="preserve">which </w:t>
              </w:r>
              <w:r w:rsidRPr="5D0C02C8">
                <w:rPr>
                  <w:rStyle w:val="Hyperlink"/>
                  <w:rFonts w:eastAsia="Verdana" w:cs="Verdana"/>
                  <w:sz w:val="20"/>
                  <w:u w:val="none"/>
                </w:rPr>
                <w:t>was released</w:t>
              </w:r>
              <w:r w:rsidRPr="732B39B6">
                <w:rPr>
                  <w:rStyle w:val="Hyperlink"/>
                  <w:rFonts w:eastAsia="Verdana" w:cs="Verdana"/>
                  <w:sz w:val="20"/>
                  <w:u w:val="none"/>
                </w:rPr>
                <w:t xml:space="preserve"> in </w:t>
              </w:r>
              <w:r w:rsidRPr="2B10D8B6">
                <w:rPr>
                  <w:rStyle w:val="Hyperlink"/>
                  <w:rFonts w:eastAsia="Verdana" w:cs="Verdana"/>
                  <w:sz w:val="20"/>
                  <w:u w:val="none"/>
                </w:rPr>
                <w:t>August 2026</w:t>
              </w:r>
              <w:r w:rsidRPr="5D0C02C8">
                <w:rPr>
                  <w:rStyle w:val="Hyperlink"/>
                  <w:rFonts w:eastAsia="Verdana" w:cs="Verdana"/>
                  <w:sz w:val="20"/>
                  <w:u w:val="none"/>
                </w:rPr>
                <w:t>.</w:t>
              </w:r>
            </w:hyperlink>
            <w:r w:rsidRPr="5D0C02C8">
              <w:rPr>
                <w:rFonts w:eastAsia="Verdana" w:cs="Verdana"/>
                <w:sz w:val="20"/>
              </w:rPr>
              <w:t xml:space="preserve"> </w:t>
            </w:r>
          </w:p>
          <w:p w14:paraId="19796A05" w14:textId="62518242" w:rsidR="0015490A" w:rsidRPr="00957C2C" w:rsidRDefault="0015490A" w:rsidP="00FA5617">
            <w:pPr>
              <w:pStyle w:val="ListParagraph"/>
              <w:numPr>
                <w:ilvl w:val="0"/>
                <w:numId w:val="12"/>
              </w:numPr>
              <w:spacing w:before="60" w:after="60" w:line="240" w:lineRule="auto"/>
              <w:rPr>
                <w:rStyle w:val="normaltextrun"/>
                <w:rFonts w:eastAsia="Verdana" w:cs="Verdana"/>
                <w:sz w:val="18"/>
                <w:szCs w:val="18"/>
              </w:rPr>
            </w:pPr>
            <w:r>
              <w:rPr>
                <w:rStyle w:val="normaltextrun"/>
                <w:rFonts w:eastAsia="Verdana" w:cs="Verdana"/>
                <w:sz w:val="20"/>
                <w:szCs w:val="20"/>
              </w:rPr>
              <w:t xml:space="preserve">This report </w:t>
            </w:r>
            <w:r w:rsidRPr="00957C2C">
              <w:rPr>
                <w:rStyle w:val="normaltextrun"/>
                <w:rFonts w:eastAsia="Verdana" w:cs="Verdana"/>
                <w:sz w:val="20"/>
                <w:szCs w:val="20"/>
              </w:rPr>
              <w:t xml:space="preserve">outlines </w:t>
            </w:r>
            <w:r>
              <w:rPr>
                <w:rStyle w:val="normaltextrun"/>
                <w:rFonts w:eastAsia="Verdana" w:cs="Verdana"/>
                <w:sz w:val="20"/>
                <w:szCs w:val="20"/>
              </w:rPr>
              <w:t xml:space="preserve">the </w:t>
            </w:r>
            <w:r w:rsidRPr="00957C2C">
              <w:rPr>
                <w:rStyle w:val="normaltextrun"/>
                <w:rFonts w:eastAsia="Verdana" w:cs="Verdana"/>
                <w:sz w:val="20"/>
                <w:szCs w:val="20"/>
              </w:rPr>
              <w:t>opportunity to strengthen the connection between Chinese travellers and Aboriginal cultural experiences.</w:t>
            </w:r>
          </w:p>
        </w:tc>
        <w:tc>
          <w:tcPr>
            <w:tcW w:w="5561" w:type="dxa"/>
            <w:tcBorders>
              <w:top w:val="single" w:sz="6" w:space="0" w:color="auto"/>
              <w:left w:val="single" w:sz="6" w:space="0" w:color="auto"/>
              <w:bottom w:val="single" w:sz="6" w:space="0" w:color="auto"/>
              <w:right w:val="single" w:sz="6" w:space="0" w:color="auto"/>
            </w:tcBorders>
          </w:tcPr>
          <w:p w14:paraId="1F7E5AA2" w14:textId="16EC03D4" w:rsidR="0015490A" w:rsidRDefault="0015490A" w:rsidP="00530A4C">
            <w:pPr>
              <w:spacing w:before="60" w:after="60" w:line="240" w:lineRule="auto"/>
              <w:rPr>
                <w:sz w:val="20"/>
              </w:rPr>
            </w:pPr>
            <w:r>
              <w:rPr>
                <w:sz w:val="20"/>
              </w:rPr>
              <w:t>Data for</w:t>
            </w:r>
            <w:r w:rsidDel="002E7BAB">
              <w:rPr>
                <w:sz w:val="20"/>
              </w:rPr>
              <w:t xml:space="preserve"> the First Nations Business Count </w:t>
            </w:r>
            <w:r w:rsidRPr="008619FB" w:rsidDel="002E7BAB">
              <w:rPr>
                <w:sz w:val="20"/>
              </w:rPr>
              <w:t xml:space="preserve">project </w:t>
            </w:r>
            <w:r w:rsidRPr="008619FB">
              <w:rPr>
                <w:sz w:val="20"/>
              </w:rPr>
              <w:t xml:space="preserve">is </w:t>
            </w:r>
            <w:r>
              <w:rPr>
                <w:sz w:val="20"/>
              </w:rPr>
              <w:t xml:space="preserve">expected to </w:t>
            </w:r>
            <w:r w:rsidRPr="008619FB">
              <w:rPr>
                <w:sz w:val="20"/>
              </w:rPr>
              <w:t xml:space="preserve">be </w:t>
            </w:r>
            <w:r>
              <w:rPr>
                <w:sz w:val="20"/>
              </w:rPr>
              <w:t>collected in November 2026, and t</w:t>
            </w:r>
            <w:r w:rsidRPr="008619FB">
              <w:rPr>
                <w:sz w:val="20"/>
              </w:rPr>
              <w:t>he final report</w:t>
            </w:r>
            <w:r>
              <w:rPr>
                <w:sz w:val="20"/>
              </w:rPr>
              <w:t xml:space="preserve"> </w:t>
            </w:r>
            <w:r w:rsidRPr="008619FB">
              <w:rPr>
                <w:sz w:val="20"/>
              </w:rPr>
              <w:t xml:space="preserve">provided to </w:t>
            </w:r>
            <w:r w:rsidRPr="02F9E47A">
              <w:rPr>
                <w:sz w:val="20"/>
              </w:rPr>
              <w:t>OTVE</w:t>
            </w:r>
            <w:r w:rsidRPr="008619FB">
              <w:rPr>
                <w:sz w:val="20"/>
              </w:rPr>
              <w:t xml:space="preserve"> in </w:t>
            </w:r>
            <w:r>
              <w:rPr>
                <w:sz w:val="20"/>
              </w:rPr>
              <w:t>February 2027</w:t>
            </w:r>
            <w:r w:rsidRPr="1B94CB13">
              <w:rPr>
                <w:sz w:val="20"/>
              </w:rPr>
              <w:t>.</w:t>
            </w:r>
          </w:p>
          <w:p w14:paraId="1B1F101D" w14:textId="77777777" w:rsidR="0015490A" w:rsidRDefault="0015490A" w:rsidP="00530A4C">
            <w:pPr>
              <w:spacing w:before="60" w:after="60" w:line="240" w:lineRule="auto"/>
              <w:rPr>
                <w:sz w:val="20"/>
              </w:rPr>
            </w:pPr>
            <w:r w:rsidRPr="00FB2ED7">
              <w:rPr>
                <w:sz w:val="20"/>
              </w:rPr>
              <w:t>Relevant Commonwealth departments are considering advice</w:t>
            </w:r>
            <w:r>
              <w:rPr>
                <w:sz w:val="20"/>
              </w:rPr>
              <w:t xml:space="preserve"> from the </w:t>
            </w:r>
            <w:r w:rsidRPr="0033633B">
              <w:rPr>
                <w:rFonts w:eastAsia="Verdana" w:cs="Verdana"/>
                <w:sz w:val="20"/>
              </w:rPr>
              <w:t>Partnership</w:t>
            </w:r>
            <w:r w:rsidRPr="00FB2ED7">
              <w:rPr>
                <w:sz w:val="20"/>
              </w:rPr>
              <w:t>, including exploring how it could help inform and/or shape related policy design and program implementation; in line with Priority Reform Three of the Closing the Gap National Agreement</w:t>
            </w:r>
            <w:r>
              <w:rPr>
                <w:sz w:val="20"/>
              </w:rPr>
              <w:t xml:space="preserve">. </w:t>
            </w:r>
          </w:p>
          <w:p w14:paraId="07F454D8" w14:textId="77777777" w:rsidR="0015490A" w:rsidRDefault="0015490A" w:rsidP="00822DDF">
            <w:pPr>
              <w:spacing w:before="60" w:after="60" w:line="240" w:lineRule="auto"/>
              <w:rPr>
                <w:rFonts w:eastAsia="Verdana" w:cs="Verdana"/>
                <w:sz w:val="20"/>
              </w:rPr>
            </w:pPr>
            <w:r w:rsidRPr="00176084">
              <w:rPr>
                <w:rFonts w:eastAsia="Verdana" w:cs="Verdana"/>
                <w:sz w:val="20"/>
              </w:rPr>
              <w:t>Tourism Australia</w:t>
            </w:r>
            <w:r w:rsidRPr="457B4120">
              <w:rPr>
                <w:rFonts w:eastAsia="Verdana" w:cs="Verdana"/>
                <w:sz w:val="20"/>
              </w:rPr>
              <w:t xml:space="preserve">, </w:t>
            </w:r>
            <w:r w:rsidRPr="09DBF941">
              <w:rPr>
                <w:rFonts w:eastAsia="Verdana" w:cs="Verdana"/>
                <w:sz w:val="20"/>
              </w:rPr>
              <w:t>Austrade and NIAA are</w:t>
            </w:r>
            <w:r w:rsidRPr="00176084">
              <w:rPr>
                <w:rFonts w:eastAsia="Verdana" w:cs="Verdana"/>
                <w:sz w:val="20"/>
              </w:rPr>
              <w:t xml:space="preserve"> sponsor</w:t>
            </w:r>
            <w:r>
              <w:rPr>
                <w:rFonts w:eastAsia="Verdana" w:cs="Verdana"/>
                <w:sz w:val="20"/>
              </w:rPr>
              <w:t>ing</w:t>
            </w:r>
            <w:r w:rsidRPr="00176084">
              <w:rPr>
                <w:rFonts w:eastAsia="Verdana" w:cs="Verdana"/>
                <w:sz w:val="20"/>
              </w:rPr>
              <w:t xml:space="preserve"> the Australian Indigenous Tourism Conference</w:t>
            </w:r>
            <w:r>
              <w:rPr>
                <w:rFonts w:eastAsia="Verdana" w:cs="Verdana"/>
                <w:sz w:val="20"/>
              </w:rPr>
              <w:t xml:space="preserve"> which will be held in Perth</w:t>
            </w:r>
            <w:r w:rsidRPr="00176084">
              <w:rPr>
                <w:rFonts w:eastAsia="Verdana" w:cs="Verdana"/>
                <w:sz w:val="20"/>
              </w:rPr>
              <w:t xml:space="preserve"> in November 2026</w:t>
            </w:r>
            <w:r>
              <w:rPr>
                <w:rFonts w:eastAsia="Verdana" w:cs="Verdana"/>
                <w:sz w:val="20"/>
              </w:rPr>
              <w:t>.</w:t>
            </w:r>
          </w:p>
          <w:p w14:paraId="61E512D0" w14:textId="436795F2" w:rsidR="0015490A" w:rsidRPr="008619FB" w:rsidRDefault="0015490A" w:rsidP="00FA5617">
            <w:pPr>
              <w:pStyle w:val="ListParagraph"/>
              <w:numPr>
                <w:ilvl w:val="0"/>
                <w:numId w:val="12"/>
              </w:numPr>
              <w:spacing w:before="60" w:after="60" w:line="240" w:lineRule="auto"/>
            </w:pPr>
            <w:r w:rsidRPr="00C56B21">
              <w:rPr>
                <w:rStyle w:val="normaltextrun"/>
                <w:rFonts w:eastAsia="Verdana" w:cs="Verdana"/>
                <w:sz w:val="20"/>
                <w:szCs w:val="20"/>
              </w:rPr>
              <w:t>The conference will explore current and emerging tourism trends, with a focus on the innovation, leadership and cultural strength driving Aboriginal tourism forward. It will bring together Aboriginal tourism operators, industry representatives, academics and government agencies to share insights, build partnerships and support sector growth.</w:t>
            </w:r>
          </w:p>
        </w:tc>
      </w:tr>
      <w:tr w:rsidR="0015490A" w:rsidRPr="006B6723" w14:paraId="6AC4EDAC" w14:textId="2ABA073B" w:rsidTr="0015490A">
        <w:trPr>
          <w:trHeight w:val="552"/>
        </w:trPr>
        <w:tc>
          <w:tcPr>
            <w:tcW w:w="971" w:type="dxa"/>
            <w:tcBorders>
              <w:top w:val="single" w:sz="6" w:space="0" w:color="auto"/>
              <w:left w:val="single" w:sz="6" w:space="0" w:color="auto"/>
              <w:bottom w:val="single" w:sz="6" w:space="0" w:color="auto"/>
              <w:right w:val="single" w:sz="6" w:space="0" w:color="auto"/>
            </w:tcBorders>
            <w:tcMar>
              <w:left w:w="105" w:type="dxa"/>
              <w:right w:w="105" w:type="dxa"/>
            </w:tcMar>
          </w:tcPr>
          <w:p w14:paraId="0BA59DC7" w14:textId="0EA84B7B" w:rsidR="0015490A" w:rsidRPr="006B6723" w:rsidRDefault="0015490A" w:rsidP="00530A4C">
            <w:pPr>
              <w:spacing w:before="60" w:after="60" w:line="240" w:lineRule="auto"/>
              <w:jc w:val="center"/>
              <w:rPr>
                <w:b/>
                <w:bCs/>
                <w:sz w:val="20"/>
                <w:lang w:val="en-US"/>
              </w:rPr>
            </w:pPr>
            <w:r w:rsidRPr="006B6723">
              <w:rPr>
                <w:sz w:val="20"/>
                <w:lang w:val="en-US"/>
              </w:rPr>
              <w:lastRenderedPageBreak/>
              <w:t>5.1</w:t>
            </w:r>
          </w:p>
        </w:tc>
        <w:tc>
          <w:tcPr>
            <w:tcW w:w="5125" w:type="dxa"/>
            <w:tcBorders>
              <w:top w:val="single" w:sz="6" w:space="0" w:color="auto"/>
              <w:left w:val="single" w:sz="6" w:space="0" w:color="auto"/>
              <w:bottom w:val="single" w:sz="6" w:space="0" w:color="auto"/>
              <w:right w:val="single" w:sz="6" w:space="0" w:color="auto"/>
            </w:tcBorders>
            <w:tcMar>
              <w:left w:w="105" w:type="dxa"/>
              <w:right w:w="105" w:type="dxa"/>
            </w:tcMar>
          </w:tcPr>
          <w:p w14:paraId="6BA29210" w14:textId="7ADC3230" w:rsidR="0015490A" w:rsidRPr="006B6723" w:rsidRDefault="0015490A" w:rsidP="00530A4C">
            <w:pPr>
              <w:spacing w:before="60" w:after="60" w:line="240" w:lineRule="auto"/>
              <w:rPr>
                <w:sz w:val="20"/>
              </w:rPr>
            </w:pPr>
            <w:r w:rsidRPr="006B6723">
              <w:rPr>
                <w:sz w:val="20"/>
              </w:rPr>
              <w:t>Continue to modernise the Government’s official tourism statistics, including by adopting new data sources.</w:t>
            </w:r>
          </w:p>
        </w:tc>
        <w:tc>
          <w:tcPr>
            <w:tcW w:w="1984" w:type="dxa"/>
            <w:tcBorders>
              <w:top w:val="single" w:sz="6" w:space="0" w:color="auto"/>
              <w:left w:val="single" w:sz="6" w:space="0" w:color="auto"/>
              <w:bottom w:val="single" w:sz="6" w:space="0" w:color="auto"/>
              <w:right w:val="single" w:sz="6" w:space="0" w:color="auto"/>
            </w:tcBorders>
            <w:tcMar>
              <w:left w:w="105" w:type="dxa"/>
              <w:right w:w="105" w:type="dxa"/>
            </w:tcMar>
          </w:tcPr>
          <w:p w14:paraId="56CA678C" w14:textId="65C8D0C9" w:rsidR="0015490A" w:rsidRPr="006B6723" w:rsidRDefault="0015490A" w:rsidP="00530A4C">
            <w:pPr>
              <w:spacing w:before="60" w:after="60" w:line="240" w:lineRule="auto"/>
              <w:rPr>
                <w:sz w:val="20"/>
              </w:rPr>
            </w:pPr>
            <w:r w:rsidRPr="006B6723">
              <w:rPr>
                <w:sz w:val="20"/>
              </w:rPr>
              <w:t>Austrade</w:t>
            </w:r>
          </w:p>
        </w:tc>
        <w:tc>
          <w:tcPr>
            <w:tcW w:w="5779" w:type="dxa"/>
            <w:tcBorders>
              <w:top w:val="single" w:sz="6" w:space="0" w:color="auto"/>
              <w:left w:val="single" w:sz="6" w:space="0" w:color="auto"/>
              <w:bottom w:val="single" w:sz="6" w:space="0" w:color="auto"/>
              <w:right w:val="single" w:sz="6" w:space="0" w:color="auto"/>
            </w:tcBorders>
          </w:tcPr>
          <w:p w14:paraId="74B27033" w14:textId="2C46373B" w:rsidR="0015490A" w:rsidRPr="00D217A7" w:rsidRDefault="0015490A" w:rsidP="00C60AD8">
            <w:pPr>
              <w:spacing w:before="60" w:after="60" w:line="240" w:lineRule="auto"/>
              <w:rPr>
                <w:rFonts w:eastAsia="Verdana" w:cs="Verdana"/>
                <w:color w:val="000000" w:themeColor="text1"/>
                <w:sz w:val="20"/>
              </w:rPr>
            </w:pPr>
            <w:r w:rsidRPr="006B6723">
              <w:rPr>
                <w:rFonts w:eastAsia="Verdana" w:cs="Verdana"/>
                <w:color w:val="000000" w:themeColor="text1"/>
                <w:sz w:val="20"/>
              </w:rPr>
              <w:t xml:space="preserve">Tourism Research Australia </w:t>
            </w:r>
            <w:r>
              <w:rPr>
                <w:rFonts w:eastAsia="Verdana" w:cs="Verdana"/>
                <w:color w:val="000000" w:themeColor="text1"/>
                <w:sz w:val="20"/>
              </w:rPr>
              <w:t>continued publishing</w:t>
            </w:r>
            <w:r w:rsidRPr="006B6723">
              <w:rPr>
                <w:rFonts w:eastAsia="Verdana" w:cs="Verdana"/>
                <w:color w:val="000000" w:themeColor="text1"/>
                <w:sz w:val="20"/>
              </w:rPr>
              <w:t xml:space="preserve"> mobility data for tourism at the national, state and regional levels</w:t>
            </w:r>
            <w:r>
              <w:rPr>
                <w:rFonts w:eastAsia="Verdana" w:cs="Verdana"/>
                <w:color w:val="000000" w:themeColor="text1"/>
                <w:sz w:val="20"/>
              </w:rPr>
              <w:t>, most recently with the</w:t>
            </w:r>
            <w:r w:rsidRPr="00D217A7">
              <w:rPr>
                <w:rFonts w:eastAsia="Verdana" w:cs="Verdana"/>
                <w:color w:val="000000" w:themeColor="text1"/>
                <w:sz w:val="20"/>
              </w:rPr>
              <w:t xml:space="preserve"> September data released on 2</w:t>
            </w:r>
            <w:r>
              <w:rPr>
                <w:rFonts w:eastAsia="Verdana" w:cs="Verdana"/>
                <w:color w:val="000000" w:themeColor="text1"/>
                <w:sz w:val="20"/>
              </w:rPr>
              <w:t>0</w:t>
            </w:r>
            <w:r w:rsidRPr="00D217A7">
              <w:rPr>
                <w:rFonts w:eastAsia="Verdana" w:cs="Verdana"/>
                <w:color w:val="000000" w:themeColor="text1"/>
                <w:sz w:val="20"/>
              </w:rPr>
              <w:t xml:space="preserve"> October 2026. </w:t>
            </w:r>
          </w:p>
          <w:p w14:paraId="6966761C" w14:textId="7CAA8AEC" w:rsidR="0015490A" w:rsidRPr="007A3856" w:rsidRDefault="0015490A" w:rsidP="00530A4C">
            <w:pPr>
              <w:spacing w:before="60" w:after="60" w:line="240" w:lineRule="auto"/>
              <w:rPr>
                <w:rFonts w:eastAsia="Verdana" w:cs="Verdana"/>
                <w:color w:val="000000" w:themeColor="text1"/>
                <w:sz w:val="20"/>
              </w:rPr>
            </w:pPr>
            <w:r w:rsidRPr="00D217A7">
              <w:rPr>
                <w:rFonts w:eastAsia="Verdana" w:cs="Verdana"/>
                <w:color w:val="000000" w:themeColor="text1"/>
                <w:sz w:val="20"/>
              </w:rPr>
              <w:t xml:space="preserve">Telstra mobility data has been built and the </w:t>
            </w:r>
            <w:r w:rsidRPr="006B6723">
              <w:rPr>
                <w:rFonts w:eastAsia="Verdana" w:cs="Verdana"/>
                <w:color w:val="000000" w:themeColor="text1"/>
                <w:sz w:val="20"/>
              </w:rPr>
              <w:t xml:space="preserve">Domestic Tourism Statistics </w:t>
            </w:r>
            <w:r>
              <w:rPr>
                <w:rFonts w:eastAsia="Verdana" w:cs="Verdana"/>
                <w:color w:val="000000" w:themeColor="text1"/>
                <w:sz w:val="20"/>
              </w:rPr>
              <w:t>(</w:t>
            </w:r>
            <w:r w:rsidRPr="00D217A7">
              <w:rPr>
                <w:rFonts w:eastAsia="Verdana" w:cs="Verdana"/>
                <w:color w:val="000000" w:themeColor="text1"/>
                <w:sz w:val="20"/>
              </w:rPr>
              <w:t>DoTs</w:t>
            </w:r>
            <w:r>
              <w:rPr>
                <w:rFonts w:eastAsia="Verdana" w:cs="Verdana"/>
                <w:color w:val="000000" w:themeColor="text1"/>
                <w:sz w:val="20"/>
              </w:rPr>
              <w:t>)</w:t>
            </w:r>
            <w:r w:rsidRPr="00D217A7">
              <w:rPr>
                <w:rFonts w:eastAsia="Verdana" w:cs="Verdana"/>
                <w:color w:val="000000" w:themeColor="text1"/>
                <w:sz w:val="20"/>
              </w:rPr>
              <w:t xml:space="preserve"> parallel run for the transitions commence</w:t>
            </w:r>
            <w:r>
              <w:rPr>
                <w:rFonts w:eastAsia="Verdana" w:cs="Verdana"/>
                <w:color w:val="000000" w:themeColor="text1"/>
                <w:sz w:val="20"/>
              </w:rPr>
              <w:t>d</w:t>
            </w:r>
            <w:r w:rsidRPr="00D217A7">
              <w:rPr>
                <w:rFonts w:eastAsia="Verdana" w:cs="Verdana"/>
                <w:color w:val="000000" w:themeColor="text1"/>
                <w:sz w:val="20"/>
              </w:rPr>
              <w:t xml:space="preserve">. State tourism organisations </w:t>
            </w:r>
            <w:r>
              <w:rPr>
                <w:rFonts w:eastAsia="Verdana" w:cs="Verdana"/>
                <w:color w:val="000000" w:themeColor="text1"/>
                <w:sz w:val="20"/>
              </w:rPr>
              <w:t>were</w:t>
            </w:r>
            <w:r w:rsidRPr="00D217A7">
              <w:rPr>
                <w:rFonts w:eastAsia="Verdana" w:cs="Verdana"/>
                <w:color w:val="000000" w:themeColor="text1"/>
                <w:sz w:val="20"/>
              </w:rPr>
              <w:t xml:space="preserve"> briefed on changes to their regions and state/territory for trips and nights through one-on-one presentations/briefings. These briefings included discussions on using the data to measure events. </w:t>
            </w:r>
          </w:p>
        </w:tc>
        <w:tc>
          <w:tcPr>
            <w:tcW w:w="5561" w:type="dxa"/>
            <w:tcBorders>
              <w:top w:val="single" w:sz="6" w:space="0" w:color="auto"/>
              <w:left w:val="single" w:sz="6" w:space="0" w:color="auto"/>
              <w:bottom w:val="single" w:sz="6" w:space="0" w:color="auto"/>
              <w:right w:val="single" w:sz="6" w:space="0" w:color="auto"/>
            </w:tcBorders>
          </w:tcPr>
          <w:p w14:paraId="1A361987" w14:textId="3C2D2DE3" w:rsidR="0015490A" w:rsidRDefault="0015490A" w:rsidP="00530A4C">
            <w:pPr>
              <w:spacing w:before="60" w:after="60" w:line="240" w:lineRule="auto"/>
              <w:rPr>
                <w:rFonts w:eastAsia="Verdana" w:cs="Verdana"/>
                <w:sz w:val="20"/>
              </w:rPr>
            </w:pPr>
            <w:r w:rsidRPr="00080222">
              <w:rPr>
                <w:rFonts w:eastAsia="Verdana" w:cs="Verdana"/>
                <w:sz w:val="20"/>
              </w:rPr>
              <w:t xml:space="preserve">Helix Personas, </w:t>
            </w:r>
            <w:r>
              <w:rPr>
                <w:rFonts w:eastAsia="Verdana" w:cs="Verdana"/>
                <w:sz w:val="20"/>
              </w:rPr>
              <w:t xml:space="preserve">a </w:t>
            </w:r>
            <w:r w:rsidRPr="007470F7">
              <w:rPr>
                <w:rFonts w:eastAsia="Verdana" w:cs="Verdana"/>
                <w:sz w:val="20"/>
              </w:rPr>
              <w:t>tool that groups people based on their mindsets, values, and behaviours rather than just their age or location</w:t>
            </w:r>
            <w:r>
              <w:rPr>
                <w:rFonts w:eastAsia="Verdana" w:cs="Verdana"/>
                <w:sz w:val="20"/>
              </w:rPr>
              <w:t>,</w:t>
            </w:r>
            <w:r w:rsidRPr="00080222">
              <w:rPr>
                <w:rFonts w:eastAsia="Verdana" w:cs="Verdana"/>
                <w:sz w:val="20"/>
              </w:rPr>
              <w:t xml:space="preserve"> included as part of DoTs will be launched in the coming weeks with a webinar to be held in </w:t>
            </w:r>
            <w:r>
              <w:rPr>
                <w:rFonts w:eastAsia="Verdana" w:cs="Verdana"/>
                <w:sz w:val="20"/>
              </w:rPr>
              <w:t>November</w:t>
            </w:r>
            <w:r w:rsidRPr="00080222">
              <w:rPr>
                <w:rFonts w:eastAsia="Verdana" w:cs="Verdana"/>
                <w:sz w:val="20"/>
              </w:rPr>
              <w:t xml:space="preserve"> 2026</w:t>
            </w:r>
            <w:r>
              <w:rPr>
                <w:rFonts w:eastAsia="Verdana" w:cs="Verdana"/>
                <w:sz w:val="20"/>
              </w:rPr>
              <w:t xml:space="preserve"> to explain this new product.</w:t>
            </w:r>
          </w:p>
          <w:p w14:paraId="06CF5758" w14:textId="77777777" w:rsidR="0015490A" w:rsidRDefault="0015490A" w:rsidP="00530A4C">
            <w:pPr>
              <w:spacing w:before="60" w:after="60" w:line="240" w:lineRule="auto"/>
              <w:rPr>
                <w:rFonts w:eastAsia="Verdana" w:cs="Verdana"/>
                <w:color w:val="000000" w:themeColor="text1"/>
                <w:sz w:val="20"/>
              </w:rPr>
            </w:pPr>
            <w:r w:rsidRPr="00D217A7">
              <w:rPr>
                <w:rFonts w:eastAsia="Verdana" w:cs="Verdana"/>
                <w:color w:val="000000" w:themeColor="text1"/>
                <w:sz w:val="20"/>
              </w:rPr>
              <w:t xml:space="preserve">Data </w:t>
            </w:r>
            <w:r>
              <w:rPr>
                <w:rFonts w:eastAsia="Verdana" w:cs="Verdana"/>
                <w:color w:val="000000" w:themeColor="text1"/>
                <w:sz w:val="20"/>
              </w:rPr>
              <w:t xml:space="preserve">will continue to be made </w:t>
            </w:r>
            <w:r w:rsidRPr="00D217A7">
              <w:rPr>
                <w:rFonts w:eastAsia="Verdana" w:cs="Verdana"/>
                <w:color w:val="000000" w:themeColor="text1"/>
                <w:sz w:val="20"/>
              </w:rPr>
              <w:t>available to TRA subscribers and the public via multiple vehicles including TRA Online and an interactive dashboard on the TRA website.</w:t>
            </w:r>
          </w:p>
          <w:p w14:paraId="1ACDF88D" w14:textId="50C2127B" w:rsidR="0015490A" w:rsidRPr="007F7E24" w:rsidRDefault="0015490A" w:rsidP="00530A4C">
            <w:pPr>
              <w:spacing w:before="60" w:after="60" w:line="240" w:lineRule="auto"/>
              <w:rPr>
                <w:rFonts w:eastAsia="Verdana" w:cs="Verdana"/>
                <w:color w:val="000000" w:themeColor="text1"/>
                <w:sz w:val="20"/>
              </w:rPr>
            </w:pPr>
            <w:r w:rsidRPr="006D5D2D">
              <w:rPr>
                <w:rFonts w:eastAsia="Verdana" w:cs="Verdana"/>
                <w:color w:val="000000" w:themeColor="text1"/>
                <w:sz w:val="20"/>
              </w:rPr>
              <w:t>Implementation of Telstra mobility data into the DoTs is anticipated for mid-2027.</w:t>
            </w:r>
          </w:p>
        </w:tc>
      </w:tr>
      <w:tr w:rsidR="0015490A" w:rsidRPr="006B6723" w14:paraId="1532403E" w14:textId="57AA9A84" w:rsidTr="0015490A">
        <w:trPr>
          <w:cnfStyle w:val="000000100000" w:firstRow="0" w:lastRow="0" w:firstColumn="0" w:lastColumn="0" w:oddVBand="0" w:evenVBand="0" w:oddHBand="1" w:evenHBand="0" w:firstRowFirstColumn="0" w:firstRowLastColumn="0" w:lastRowFirstColumn="0" w:lastRowLastColumn="0"/>
          <w:trHeight w:val="625"/>
        </w:trPr>
        <w:tc>
          <w:tcPr>
            <w:tcW w:w="971" w:type="dxa"/>
            <w:tcBorders>
              <w:top w:val="single" w:sz="6" w:space="0" w:color="auto"/>
              <w:left w:val="single" w:sz="6" w:space="0" w:color="auto"/>
              <w:bottom w:val="single" w:sz="6" w:space="0" w:color="auto"/>
              <w:right w:val="single" w:sz="6" w:space="0" w:color="auto"/>
            </w:tcBorders>
            <w:tcMar>
              <w:left w:w="105" w:type="dxa"/>
              <w:right w:w="105" w:type="dxa"/>
            </w:tcMar>
          </w:tcPr>
          <w:p w14:paraId="6C1B60E3" w14:textId="69646D85" w:rsidR="0015490A" w:rsidRPr="006B6723" w:rsidRDefault="0015490A" w:rsidP="00530A4C">
            <w:pPr>
              <w:spacing w:before="60" w:after="60" w:line="240" w:lineRule="auto"/>
              <w:jc w:val="center"/>
              <w:rPr>
                <w:b/>
                <w:bCs/>
                <w:sz w:val="20"/>
                <w:lang w:val="en-US"/>
              </w:rPr>
            </w:pPr>
            <w:r w:rsidRPr="007A3856">
              <w:rPr>
                <w:lang w:val="en-US"/>
              </w:rPr>
              <w:t>5.2</w:t>
            </w:r>
          </w:p>
        </w:tc>
        <w:tc>
          <w:tcPr>
            <w:tcW w:w="5125" w:type="dxa"/>
            <w:tcBorders>
              <w:top w:val="single" w:sz="6" w:space="0" w:color="auto"/>
              <w:left w:val="single" w:sz="6" w:space="0" w:color="auto"/>
              <w:bottom w:val="single" w:sz="6" w:space="0" w:color="auto"/>
              <w:right w:val="single" w:sz="6" w:space="0" w:color="auto"/>
            </w:tcBorders>
            <w:tcMar>
              <w:left w:w="105" w:type="dxa"/>
              <w:right w:w="105" w:type="dxa"/>
            </w:tcMar>
          </w:tcPr>
          <w:p w14:paraId="7160DD2C" w14:textId="1C07F2AF" w:rsidR="0015490A" w:rsidRPr="006B6723" w:rsidRDefault="0015490A" w:rsidP="00530A4C">
            <w:pPr>
              <w:spacing w:before="60" w:after="60" w:line="240" w:lineRule="auto"/>
              <w:rPr>
                <w:sz w:val="20"/>
              </w:rPr>
            </w:pPr>
            <w:r w:rsidRPr="006B6723">
              <w:rPr>
                <w:sz w:val="20"/>
              </w:rPr>
              <w:t>Deliver research and insights that are focused, relevant and based on priorities informed by consultation with stakeholders.</w:t>
            </w:r>
          </w:p>
        </w:tc>
        <w:tc>
          <w:tcPr>
            <w:tcW w:w="1984" w:type="dxa"/>
            <w:tcBorders>
              <w:top w:val="single" w:sz="6" w:space="0" w:color="auto"/>
              <w:left w:val="single" w:sz="6" w:space="0" w:color="auto"/>
              <w:bottom w:val="single" w:sz="6" w:space="0" w:color="auto"/>
              <w:right w:val="single" w:sz="6" w:space="0" w:color="auto"/>
            </w:tcBorders>
            <w:tcMar>
              <w:left w:w="105" w:type="dxa"/>
              <w:right w:w="105" w:type="dxa"/>
            </w:tcMar>
          </w:tcPr>
          <w:p w14:paraId="2C11D2CD" w14:textId="523C2E50" w:rsidR="0015490A" w:rsidRPr="006B6723" w:rsidRDefault="0015490A" w:rsidP="00530A4C">
            <w:pPr>
              <w:spacing w:before="60" w:after="60" w:line="240" w:lineRule="auto"/>
              <w:rPr>
                <w:sz w:val="20"/>
              </w:rPr>
            </w:pPr>
            <w:r w:rsidRPr="006B6723">
              <w:rPr>
                <w:sz w:val="20"/>
              </w:rPr>
              <w:t>Austrade, ABS, Tourism Australia</w:t>
            </w:r>
          </w:p>
        </w:tc>
        <w:tc>
          <w:tcPr>
            <w:tcW w:w="5779" w:type="dxa"/>
            <w:tcBorders>
              <w:top w:val="single" w:sz="6" w:space="0" w:color="auto"/>
              <w:left w:val="single" w:sz="6" w:space="0" w:color="auto"/>
              <w:bottom w:val="single" w:sz="6" w:space="0" w:color="auto"/>
              <w:right w:val="single" w:sz="6" w:space="0" w:color="auto"/>
            </w:tcBorders>
          </w:tcPr>
          <w:p w14:paraId="75D72645" w14:textId="41CD05D6" w:rsidR="0015490A" w:rsidRPr="0091114C" w:rsidRDefault="0015490A" w:rsidP="00ED10C2">
            <w:pPr>
              <w:spacing w:before="60" w:after="60" w:line="240" w:lineRule="auto"/>
              <w:rPr>
                <w:rFonts w:eastAsia="Verdana" w:cs="Verdana"/>
                <w:color w:val="000000" w:themeColor="text1"/>
                <w:sz w:val="20"/>
              </w:rPr>
            </w:pPr>
            <w:r w:rsidRPr="0091114C">
              <w:rPr>
                <w:rFonts w:eastAsia="Verdana" w:cs="Verdana"/>
                <w:color w:val="000000" w:themeColor="text1"/>
                <w:sz w:val="20"/>
              </w:rPr>
              <w:t>Tourism Research Australia regularly attend</w:t>
            </w:r>
            <w:r>
              <w:rPr>
                <w:rFonts w:eastAsia="Verdana" w:cs="Verdana"/>
                <w:color w:val="000000" w:themeColor="text1"/>
                <w:sz w:val="20"/>
              </w:rPr>
              <w:t>ed</w:t>
            </w:r>
            <w:r w:rsidRPr="0091114C">
              <w:rPr>
                <w:rFonts w:eastAsia="Verdana" w:cs="Verdana"/>
                <w:color w:val="000000" w:themeColor="text1"/>
                <w:sz w:val="20"/>
              </w:rPr>
              <w:t xml:space="preserve"> and present</w:t>
            </w:r>
            <w:r>
              <w:rPr>
                <w:rFonts w:eastAsia="Verdana" w:cs="Verdana"/>
                <w:color w:val="000000" w:themeColor="text1"/>
                <w:sz w:val="20"/>
              </w:rPr>
              <w:t>ed</w:t>
            </w:r>
            <w:r w:rsidRPr="0091114C">
              <w:rPr>
                <w:rFonts w:eastAsia="Verdana" w:cs="Verdana"/>
                <w:color w:val="000000" w:themeColor="text1"/>
                <w:sz w:val="20"/>
              </w:rPr>
              <w:t xml:space="preserve"> at industry events, including as a regular presenter on </w:t>
            </w:r>
            <w:r>
              <w:rPr>
                <w:rFonts w:eastAsia="Verdana" w:cs="Verdana"/>
                <w:color w:val="000000" w:themeColor="text1"/>
                <w:sz w:val="20"/>
              </w:rPr>
              <w:t>Australian Tourism Export Council (</w:t>
            </w:r>
            <w:r w:rsidRPr="0091114C">
              <w:rPr>
                <w:rFonts w:eastAsia="Verdana" w:cs="Verdana"/>
                <w:color w:val="000000" w:themeColor="text1"/>
                <w:sz w:val="20"/>
              </w:rPr>
              <w:t>AT</w:t>
            </w:r>
            <w:r>
              <w:rPr>
                <w:rFonts w:eastAsia="Verdana" w:cs="Verdana"/>
                <w:color w:val="000000" w:themeColor="text1"/>
                <w:sz w:val="20"/>
              </w:rPr>
              <w:t>E</w:t>
            </w:r>
            <w:r w:rsidRPr="0091114C">
              <w:rPr>
                <w:rFonts w:eastAsia="Verdana" w:cs="Verdana"/>
                <w:color w:val="000000" w:themeColor="text1"/>
                <w:sz w:val="20"/>
              </w:rPr>
              <w:t>C</w:t>
            </w:r>
            <w:r>
              <w:rPr>
                <w:rFonts w:eastAsia="Verdana" w:cs="Verdana"/>
                <w:color w:val="000000" w:themeColor="text1"/>
                <w:sz w:val="20"/>
              </w:rPr>
              <w:t>)</w:t>
            </w:r>
            <w:r w:rsidRPr="0091114C">
              <w:rPr>
                <w:rFonts w:eastAsia="Verdana" w:cs="Verdana"/>
                <w:color w:val="000000" w:themeColor="text1"/>
                <w:sz w:val="20"/>
              </w:rPr>
              <w:t xml:space="preserve"> webinars to share research and insights with industry.</w:t>
            </w:r>
          </w:p>
          <w:p w14:paraId="2FA20CC0" w14:textId="3A761581" w:rsidR="0015490A" w:rsidRDefault="0015490A" w:rsidP="00236F35">
            <w:pPr>
              <w:spacing w:before="60" w:after="60" w:line="240" w:lineRule="auto"/>
              <w:rPr>
                <w:rFonts w:eastAsia="Verdana" w:cs="Verdana"/>
                <w:color w:val="000000" w:themeColor="text1"/>
                <w:sz w:val="20"/>
              </w:rPr>
            </w:pPr>
            <w:r>
              <w:rPr>
                <w:rFonts w:eastAsia="Verdana" w:cs="Verdana"/>
                <w:color w:val="000000" w:themeColor="text1"/>
                <w:sz w:val="20"/>
              </w:rPr>
              <w:t>Between 1 July and 30 September 2026, TRA released 12 publications/data product updates including the quarterly release of the Domestic Tourism Statistics (</w:t>
            </w:r>
            <w:proofErr w:type="spellStart"/>
            <w:r>
              <w:rPr>
                <w:rFonts w:eastAsia="Verdana" w:cs="Verdana"/>
                <w:color w:val="000000" w:themeColor="text1"/>
                <w:sz w:val="20"/>
              </w:rPr>
              <w:t>DoTS</w:t>
            </w:r>
            <w:proofErr w:type="spellEnd"/>
            <w:r>
              <w:rPr>
                <w:rFonts w:eastAsia="Verdana" w:cs="Verdana"/>
                <w:color w:val="000000" w:themeColor="text1"/>
                <w:sz w:val="20"/>
              </w:rPr>
              <w:t xml:space="preserve">) and the International Visitor Survey (IVS). </w:t>
            </w:r>
          </w:p>
          <w:p w14:paraId="22522A67" w14:textId="4FD59486" w:rsidR="0015490A" w:rsidRPr="00D217A7" w:rsidRDefault="0015490A" w:rsidP="00236F35">
            <w:pPr>
              <w:spacing w:before="60" w:after="60" w:line="240" w:lineRule="auto"/>
              <w:rPr>
                <w:rFonts w:eastAsia="Verdana" w:cs="Verdana"/>
                <w:color w:val="000000" w:themeColor="text1"/>
                <w:sz w:val="20"/>
              </w:rPr>
            </w:pPr>
            <w:r>
              <w:rPr>
                <w:rFonts w:eastAsia="Verdana" w:cs="Verdana"/>
                <w:color w:val="000000" w:themeColor="text1"/>
                <w:sz w:val="20"/>
              </w:rPr>
              <w:t xml:space="preserve">The administration component (bookings) of </w:t>
            </w:r>
            <w:r w:rsidRPr="00D217A7">
              <w:rPr>
                <w:rFonts w:eastAsia="Verdana" w:cs="Verdana"/>
                <w:color w:val="000000" w:themeColor="text1"/>
                <w:sz w:val="20"/>
              </w:rPr>
              <w:t xml:space="preserve">Caravan and </w:t>
            </w:r>
            <w:r>
              <w:rPr>
                <w:rFonts w:eastAsia="Verdana" w:cs="Verdana"/>
                <w:color w:val="000000" w:themeColor="text1"/>
                <w:sz w:val="20"/>
              </w:rPr>
              <w:t>Ca</w:t>
            </w:r>
            <w:r w:rsidRPr="00D217A7">
              <w:rPr>
                <w:rFonts w:eastAsia="Verdana" w:cs="Verdana"/>
                <w:color w:val="000000" w:themeColor="text1"/>
                <w:sz w:val="20"/>
              </w:rPr>
              <w:t xml:space="preserve">mping data </w:t>
            </w:r>
            <w:r>
              <w:rPr>
                <w:rFonts w:eastAsia="Verdana" w:cs="Verdana"/>
                <w:color w:val="000000" w:themeColor="text1"/>
                <w:sz w:val="20"/>
              </w:rPr>
              <w:t xml:space="preserve">was </w:t>
            </w:r>
            <w:r w:rsidRPr="00D217A7">
              <w:rPr>
                <w:rFonts w:eastAsia="Verdana" w:cs="Verdana"/>
                <w:color w:val="000000" w:themeColor="text1"/>
                <w:sz w:val="20"/>
              </w:rPr>
              <w:t>updated to September 2026.</w:t>
            </w:r>
          </w:p>
          <w:p w14:paraId="683C9939" w14:textId="46360A7D" w:rsidR="0015490A" w:rsidRPr="0091114C" w:rsidRDefault="0015490A" w:rsidP="00ED10C2">
            <w:pPr>
              <w:spacing w:before="60" w:after="60" w:line="240" w:lineRule="auto"/>
              <w:rPr>
                <w:rFonts w:eastAsia="Verdana" w:cs="Verdana"/>
                <w:color w:val="000000" w:themeColor="text1"/>
                <w:sz w:val="20"/>
              </w:rPr>
            </w:pPr>
            <w:r>
              <w:rPr>
                <w:rFonts w:eastAsia="Verdana" w:cs="Verdana"/>
                <w:color w:val="000000" w:themeColor="text1"/>
                <w:sz w:val="20"/>
              </w:rPr>
              <w:t xml:space="preserve">Work has commenced on the </w:t>
            </w:r>
            <w:hyperlink r:id="rId45" w:history="1">
              <w:r w:rsidRPr="008B72A8">
                <w:rPr>
                  <w:rStyle w:val="Hyperlink"/>
                  <w:rFonts w:eastAsia="Verdana" w:cs="Verdana"/>
                  <w:sz w:val="20"/>
                </w:rPr>
                <w:t>business events dashboard and web page</w:t>
              </w:r>
            </w:hyperlink>
            <w:r w:rsidRPr="00D217A7">
              <w:rPr>
                <w:rFonts w:eastAsia="Verdana" w:cs="Verdana"/>
                <w:color w:val="000000" w:themeColor="text1"/>
                <w:sz w:val="20"/>
              </w:rPr>
              <w:t xml:space="preserve"> </w:t>
            </w:r>
            <w:r>
              <w:rPr>
                <w:rFonts w:eastAsia="Verdana" w:cs="Verdana"/>
                <w:color w:val="000000" w:themeColor="text1"/>
                <w:sz w:val="20"/>
              </w:rPr>
              <w:t>to include</w:t>
            </w:r>
            <w:r w:rsidRPr="00D217A7">
              <w:rPr>
                <w:rFonts w:eastAsia="Verdana" w:cs="Verdana"/>
                <w:color w:val="000000" w:themeColor="text1"/>
                <w:sz w:val="20"/>
              </w:rPr>
              <w:t xml:space="preserve"> 2025/26 estimates. </w:t>
            </w:r>
          </w:p>
          <w:p w14:paraId="0912F3D2" w14:textId="77777777" w:rsidR="0015490A" w:rsidRDefault="0015490A" w:rsidP="00530A4C">
            <w:pPr>
              <w:spacing w:before="60" w:after="60" w:line="240" w:lineRule="auto"/>
              <w:rPr>
                <w:rFonts w:eastAsia="Verdana" w:cs="Verdana"/>
                <w:color w:val="000000" w:themeColor="text1"/>
                <w:sz w:val="20"/>
              </w:rPr>
            </w:pPr>
            <w:r w:rsidRPr="00CD0D35">
              <w:rPr>
                <w:rFonts w:eastAsia="Verdana" w:cs="Verdana"/>
                <w:color w:val="000000" w:themeColor="text1"/>
                <w:sz w:val="20"/>
              </w:rPr>
              <w:t xml:space="preserve">Tourism Research Australia released the </w:t>
            </w:r>
            <w:hyperlink r:id="rId46" w:history="1">
              <w:r w:rsidRPr="0039298A">
                <w:rPr>
                  <w:rStyle w:val="Hyperlink"/>
                  <w:rFonts w:eastAsia="Verdana" w:cs="Verdana"/>
                  <w:sz w:val="20"/>
                </w:rPr>
                <w:t>State and Regional Tourism Satellite Accounts 2024</w:t>
              </w:r>
              <w:r w:rsidRPr="0039298A">
                <w:rPr>
                  <w:rStyle w:val="Hyperlink"/>
                  <w:rFonts w:eastAsia="Verdana" w:cs="Verdana"/>
                  <w:sz w:val="20"/>
                </w:rPr>
                <w:noBreakHyphen/>
                <w:t>25</w:t>
              </w:r>
            </w:hyperlink>
            <w:r w:rsidRPr="00CD0D35">
              <w:rPr>
                <w:rFonts w:eastAsia="Verdana" w:cs="Verdana"/>
                <w:color w:val="000000" w:themeColor="text1"/>
                <w:sz w:val="20"/>
              </w:rPr>
              <w:t xml:space="preserve"> on 28 July 2026. </w:t>
            </w:r>
          </w:p>
          <w:p w14:paraId="3474A958" w14:textId="1799F9DB" w:rsidR="0015490A" w:rsidRDefault="0015490A" w:rsidP="00FA5617">
            <w:pPr>
              <w:pStyle w:val="ListParagraph"/>
              <w:numPr>
                <w:ilvl w:val="0"/>
                <w:numId w:val="12"/>
              </w:numPr>
              <w:spacing w:before="60" w:after="60" w:line="240" w:lineRule="auto"/>
              <w:rPr>
                <w:rStyle w:val="normaltextrun"/>
                <w:rFonts w:eastAsia="Verdana" w:cs="Verdana"/>
                <w:sz w:val="20"/>
                <w:szCs w:val="20"/>
              </w:rPr>
            </w:pPr>
            <w:r w:rsidRPr="002A3597">
              <w:rPr>
                <w:rStyle w:val="normaltextrun"/>
                <w:rFonts w:eastAsia="Verdana" w:cs="Verdana"/>
                <w:sz w:val="20"/>
                <w:szCs w:val="20"/>
              </w:rPr>
              <w:t>The State and Regional Tourism Satellite Accounts provide annual estimates of tourism's economic contribution across all Australian states and territories and 76 tourism regions.</w:t>
            </w:r>
          </w:p>
          <w:p w14:paraId="71FF0857" w14:textId="78D3B2DB" w:rsidR="0015490A" w:rsidRPr="00CD0D35" w:rsidRDefault="0015490A" w:rsidP="00530A4C">
            <w:pPr>
              <w:spacing w:before="60" w:after="60" w:line="240" w:lineRule="auto"/>
              <w:rPr>
                <w:rFonts w:eastAsia="Verdana" w:cs="Verdana"/>
                <w:color w:val="000000" w:themeColor="text1"/>
                <w:sz w:val="20"/>
              </w:rPr>
            </w:pPr>
            <w:r w:rsidRPr="00CD0D35">
              <w:rPr>
                <w:rFonts w:eastAsia="Verdana" w:cs="Verdana"/>
                <w:color w:val="000000" w:themeColor="text1"/>
                <w:sz w:val="20"/>
              </w:rPr>
              <w:t>The ABS continue</w:t>
            </w:r>
            <w:r>
              <w:rPr>
                <w:rFonts w:eastAsia="Verdana" w:cs="Verdana"/>
                <w:color w:val="000000" w:themeColor="text1"/>
                <w:sz w:val="20"/>
              </w:rPr>
              <w:t>d</w:t>
            </w:r>
            <w:r w:rsidRPr="00CD0D35">
              <w:rPr>
                <w:rFonts w:eastAsia="Verdana" w:cs="Verdana"/>
                <w:color w:val="000000" w:themeColor="text1"/>
                <w:sz w:val="20"/>
              </w:rPr>
              <w:t xml:space="preserve"> to deliver high-quality statistics that inform the visitor economy, including </w:t>
            </w:r>
            <w:r>
              <w:rPr>
                <w:rFonts w:eastAsia="Verdana" w:cs="Verdana"/>
                <w:color w:val="000000" w:themeColor="text1"/>
                <w:sz w:val="20"/>
              </w:rPr>
              <w:t>the</w:t>
            </w:r>
            <w:r w:rsidRPr="00CD0D35">
              <w:rPr>
                <w:rFonts w:eastAsia="Verdana" w:cs="Verdana"/>
                <w:color w:val="000000" w:themeColor="text1"/>
                <w:sz w:val="20"/>
              </w:rPr>
              <w:t xml:space="preserve"> </w:t>
            </w:r>
            <w:hyperlink r:id="rId47" w:tooltip="https://www.abs.gov.au/statistics/economy/national-accounts/quarterly-tourism-labour-statistics/latest-release" w:history="1">
              <w:r w:rsidRPr="0039298A">
                <w:rPr>
                  <w:rStyle w:val="Hyperlink"/>
                  <w:rFonts w:eastAsia="Verdana" w:cs="Verdana"/>
                  <w:sz w:val="20"/>
                </w:rPr>
                <w:t>Quarterly Tourism Labour</w:t>
              </w:r>
              <w:r w:rsidRPr="00A5456F">
                <w:rPr>
                  <w:rStyle w:val="Hyperlink"/>
                  <w:rFonts w:eastAsia="Verdana" w:cs="Verdana"/>
                  <w:b/>
                  <w:bCs/>
                  <w:sz w:val="20"/>
                </w:rPr>
                <w:t xml:space="preserve"> </w:t>
              </w:r>
              <w:r w:rsidRPr="0039298A">
                <w:rPr>
                  <w:rStyle w:val="Hyperlink"/>
                  <w:rFonts w:eastAsia="Verdana" w:cs="Verdana"/>
                  <w:sz w:val="20"/>
                </w:rPr>
                <w:t>Statistics</w:t>
              </w:r>
            </w:hyperlink>
            <w:r w:rsidRPr="00CD0D35">
              <w:rPr>
                <w:rFonts w:eastAsia="Verdana" w:cs="Verdana"/>
                <w:color w:val="000000" w:themeColor="text1"/>
                <w:sz w:val="20"/>
              </w:rPr>
              <w:t xml:space="preserve"> on 16 September and monthly </w:t>
            </w:r>
            <w:hyperlink r:id="rId48" w:tooltip="https://www.abs.gov.au/statistics/industry/tourism-and-transport/overseas-arrivals-and-departures-australia/latest-release" w:history="1">
              <w:r w:rsidRPr="0039298A">
                <w:rPr>
                  <w:rStyle w:val="Hyperlink"/>
                  <w:rFonts w:eastAsia="Verdana" w:cs="Verdana"/>
                  <w:sz w:val="20"/>
                </w:rPr>
                <w:t>Overseas Arrivals and Departure statistics</w:t>
              </w:r>
            </w:hyperlink>
            <w:r w:rsidRPr="00CD0D35">
              <w:rPr>
                <w:rFonts w:eastAsia="Verdana" w:cs="Verdana"/>
                <w:color w:val="000000" w:themeColor="text1"/>
                <w:sz w:val="20"/>
              </w:rPr>
              <w:t>.</w:t>
            </w:r>
          </w:p>
          <w:p w14:paraId="6122406C" w14:textId="2A284719" w:rsidR="0015490A" w:rsidRPr="006B6723" w:rsidRDefault="0015490A" w:rsidP="00530A4C">
            <w:pPr>
              <w:spacing w:before="60" w:after="60" w:line="240" w:lineRule="auto"/>
              <w:rPr>
                <w:rFonts w:eastAsia="Verdana" w:cs="Verdana"/>
                <w:color w:val="000000" w:themeColor="text1"/>
                <w:sz w:val="20"/>
              </w:rPr>
            </w:pPr>
            <w:r w:rsidRPr="00CD0D35">
              <w:rPr>
                <w:rFonts w:eastAsia="Verdana" w:cs="Verdana"/>
                <w:color w:val="000000" w:themeColor="text1"/>
                <w:sz w:val="20"/>
              </w:rPr>
              <w:t xml:space="preserve">Tourism Australia </w:t>
            </w:r>
            <w:r>
              <w:rPr>
                <w:rFonts w:eastAsia="Verdana" w:cs="Verdana"/>
                <w:color w:val="000000" w:themeColor="text1"/>
                <w:sz w:val="20"/>
              </w:rPr>
              <w:t>continued to provide</w:t>
            </w:r>
            <w:r w:rsidRPr="00CD0D35">
              <w:rPr>
                <w:rFonts w:eastAsia="Verdana" w:cs="Verdana"/>
                <w:color w:val="000000" w:themeColor="text1"/>
                <w:sz w:val="20"/>
              </w:rPr>
              <w:t xml:space="preserve"> a suite of data and insights on its website to support the visitor economy.</w:t>
            </w:r>
          </w:p>
        </w:tc>
        <w:tc>
          <w:tcPr>
            <w:tcW w:w="5561" w:type="dxa"/>
            <w:tcBorders>
              <w:top w:val="single" w:sz="6" w:space="0" w:color="auto"/>
              <w:left w:val="single" w:sz="6" w:space="0" w:color="auto"/>
              <w:bottom w:val="single" w:sz="6" w:space="0" w:color="auto"/>
              <w:right w:val="single" w:sz="6" w:space="0" w:color="auto"/>
            </w:tcBorders>
          </w:tcPr>
          <w:p w14:paraId="0ABBC695" w14:textId="77777777" w:rsidR="0015490A" w:rsidRDefault="0015490A" w:rsidP="0020734C">
            <w:pPr>
              <w:spacing w:before="60" w:after="60" w:line="240" w:lineRule="auto"/>
              <w:rPr>
                <w:rFonts w:eastAsia="Verdana" w:cs="Verdana"/>
                <w:color w:val="000000" w:themeColor="text1"/>
                <w:sz w:val="20"/>
              </w:rPr>
            </w:pPr>
            <w:r w:rsidRPr="00A5456F">
              <w:rPr>
                <w:rFonts w:eastAsia="Verdana" w:cs="Verdana"/>
                <w:color w:val="000000" w:themeColor="text1"/>
                <w:sz w:val="20"/>
              </w:rPr>
              <w:t>Insights from a business events-focused deep dive of Tourism Australia’s Consumer Demand Project will be released in October at IMEX America.</w:t>
            </w:r>
          </w:p>
          <w:p w14:paraId="6F3EBD49" w14:textId="22033E39" w:rsidR="0015490A" w:rsidRDefault="0015490A" w:rsidP="000843E1">
            <w:pPr>
              <w:spacing w:before="60" w:after="60" w:line="240" w:lineRule="auto"/>
              <w:rPr>
                <w:rFonts w:eastAsia="Verdana" w:cs="Verdana"/>
                <w:color w:val="000000" w:themeColor="text1"/>
              </w:rPr>
            </w:pPr>
            <w:r w:rsidRPr="00A5456F">
              <w:rPr>
                <w:rFonts w:eastAsia="Verdana" w:cs="Verdana"/>
                <w:color w:val="000000" w:themeColor="text1"/>
                <w:sz w:val="20"/>
              </w:rPr>
              <w:t xml:space="preserve">The annual </w:t>
            </w:r>
            <w:r w:rsidRPr="0085595E">
              <w:rPr>
                <w:rFonts w:eastAsia="Verdana" w:cs="Verdana"/>
                <w:b/>
                <w:color w:val="000000" w:themeColor="text1"/>
                <w:sz w:val="20"/>
              </w:rPr>
              <w:t>National</w:t>
            </w:r>
            <w:r>
              <w:rPr>
                <w:rFonts w:eastAsia="Verdana" w:cs="Verdana"/>
                <w:color w:val="000000" w:themeColor="text1"/>
                <w:sz w:val="20"/>
              </w:rPr>
              <w:t xml:space="preserve"> </w:t>
            </w:r>
            <w:r w:rsidRPr="00E459AF">
              <w:rPr>
                <w:rFonts w:eastAsia="Verdana" w:cs="Verdana"/>
                <w:b/>
                <w:bCs/>
                <w:color w:val="000000" w:themeColor="text1"/>
                <w:sz w:val="20"/>
              </w:rPr>
              <w:t>Tourism Satellite Account</w:t>
            </w:r>
            <w:r w:rsidRPr="00A5456F">
              <w:rPr>
                <w:rFonts w:eastAsia="Verdana" w:cs="Verdana"/>
                <w:color w:val="000000" w:themeColor="text1"/>
                <w:sz w:val="20"/>
              </w:rPr>
              <w:t xml:space="preserve"> will be released </w:t>
            </w:r>
            <w:r>
              <w:rPr>
                <w:rFonts w:eastAsia="Verdana" w:cs="Verdana"/>
                <w:color w:val="000000" w:themeColor="text1"/>
                <w:sz w:val="20"/>
              </w:rPr>
              <w:t xml:space="preserve">by the ABS </w:t>
            </w:r>
            <w:r w:rsidRPr="00A5456F">
              <w:rPr>
                <w:rFonts w:eastAsia="Verdana" w:cs="Verdana"/>
                <w:color w:val="000000" w:themeColor="text1"/>
                <w:sz w:val="20"/>
              </w:rPr>
              <w:t>on 2 December 2026.</w:t>
            </w:r>
            <w:r w:rsidRPr="00A5456F">
              <w:rPr>
                <w:rFonts w:eastAsia="Verdana" w:cs="Verdana"/>
                <w:color w:val="000000" w:themeColor="text1"/>
              </w:rPr>
              <w:t> </w:t>
            </w:r>
          </w:p>
          <w:p w14:paraId="7A0E647E" w14:textId="5B755EF9" w:rsidR="0015490A" w:rsidRPr="00164DD4" w:rsidRDefault="0015490A" w:rsidP="00391FC9">
            <w:pPr>
              <w:spacing w:before="60" w:after="60" w:line="240" w:lineRule="auto"/>
              <w:rPr>
                <w:rFonts w:eastAsia="Verdana" w:cs="Verdana"/>
                <w:color w:val="000000" w:themeColor="text1"/>
                <w:sz w:val="20"/>
              </w:rPr>
            </w:pPr>
            <w:r w:rsidRPr="0020734C">
              <w:rPr>
                <w:rFonts w:eastAsia="Verdana" w:cs="Verdana"/>
                <w:color w:val="000000" w:themeColor="text1"/>
                <w:sz w:val="20"/>
              </w:rPr>
              <w:t>The T</w:t>
            </w:r>
            <w:r>
              <w:rPr>
                <w:rFonts w:eastAsia="Verdana" w:cs="Verdana"/>
                <w:color w:val="000000" w:themeColor="text1"/>
                <w:sz w:val="20"/>
              </w:rPr>
              <w:t>ourism Research Australia</w:t>
            </w:r>
            <w:r w:rsidRPr="0020734C">
              <w:rPr>
                <w:rFonts w:eastAsia="Verdana" w:cs="Verdana"/>
                <w:color w:val="000000" w:themeColor="text1"/>
                <w:sz w:val="20"/>
              </w:rPr>
              <w:t xml:space="preserve"> </w:t>
            </w:r>
            <w:r w:rsidRPr="002714B7">
              <w:rPr>
                <w:rFonts w:eastAsia="Verdana" w:cs="Verdana"/>
                <w:b/>
                <w:color w:val="000000" w:themeColor="text1"/>
                <w:sz w:val="20"/>
              </w:rPr>
              <w:t>Investment Monitor</w:t>
            </w:r>
            <w:r w:rsidRPr="0020734C">
              <w:rPr>
                <w:rFonts w:eastAsia="Verdana" w:cs="Verdana"/>
                <w:color w:val="000000" w:themeColor="text1"/>
                <w:sz w:val="20"/>
              </w:rPr>
              <w:t xml:space="preserve"> will be released in November, and updated tourism forecasts </w:t>
            </w:r>
            <w:r>
              <w:rPr>
                <w:rFonts w:eastAsia="Verdana" w:cs="Verdana"/>
                <w:color w:val="000000" w:themeColor="text1"/>
                <w:sz w:val="20"/>
              </w:rPr>
              <w:t>will</w:t>
            </w:r>
            <w:r w:rsidRPr="0020734C">
              <w:rPr>
                <w:rFonts w:eastAsia="Verdana" w:cs="Verdana"/>
                <w:color w:val="000000" w:themeColor="text1"/>
                <w:sz w:val="20"/>
              </w:rPr>
              <w:t xml:space="preserve"> be released in December 2026</w:t>
            </w:r>
            <w:r>
              <w:rPr>
                <w:rFonts w:eastAsia="Verdana" w:cs="Verdana"/>
                <w:color w:val="000000" w:themeColor="text1"/>
                <w:sz w:val="20"/>
              </w:rPr>
              <w:t xml:space="preserve">. The next quarterly release of </w:t>
            </w:r>
            <w:proofErr w:type="spellStart"/>
            <w:r>
              <w:rPr>
                <w:rFonts w:eastAsia="Verdana" w:cs="Verdana"/>
                <w:color w:val="000000" w:themeColor="text1"/>
                <w:sz w:val="20"/>
              </w:rPr>
              <w:t>DoTS</w:t>
            </w:r>
            <w:proofErr w:type="spellEnd"/>
            <w:r>
              <w:rPr>
                <w:rFonts w:eastAsia="Verdana" w:cs="Verdana"/>
                <w:color w:val="000000" w:themeColor="text1"/>
                <w:sz w:val="20"/>
              </w:rPr>
              <w:t xml:space="preserve"> and the IVS will be in December 2026. </w:t>
            </w:r>
            <w:r w:rsidRPr="006B6723">
              <w:rPr>
                <w:rFonts w:eastAsia="Verdana" w:cs="Verdana"/>
                <w:color w:val="000000" w:themeColor="text1"/>
                <w:sz w:val="20"/>
              </w:rPr>
              <w:t>T</w:t>
            </w:r>
            <w:r>
              <w:rPr>
                <w:rFonts w:eastAsia="Verdana" w:cs="Verdana"/>
                <w:color w:val="000000" w:themeColor="text1"/>
                <w:sz w:val="20"/>
              </w:rPr>
              <w:t xml:space="preserve">ourism Research Australia </w:t>
            </w:r>
            <w:r w:rsidRPr="006B6723">
              <w:rPr>
                <w:rFonts w:eastAsia="Verdana" w:cs="Verdana"/>
                <w:color w:val="000000" w:themeColor="text1"/>
                <w:sz w:val="20"/>
              </w:rPr>
              <w:t>will continue making available relevant data on its website to support both industry and government stakeholders.</w:t>
            </w:r>
            <w:r>
              <w:rPr>
                <w:rFonts w:eastAsia="Verdana" w:cs="Verdana"/>
                <w:color w:val="000000" w:themeColor="text1"/>
                <w:sz w:val="20"/>
              </w:rPr>
              <w:t xml:space="preserve"> It will also</w:t>
            </w:r>
            <w:r w:rsidRPr="006B6723">
              <w:rPr>
                <w:rFonts w:eastAsia="Verdana" w:cs="Verdana"/>
                <w:color w:val="000000" w:themeColor="text1"/>
                <w:sz w:val="20"/>
              </w:rPr>
              <w:t xml:space="preserve"> continue to deliver bespoke reports on key areas of the visitor economy.</w:t>
            </w:r>
          </w:p>
        </w:tc>
      </w:tr>
    </w:tbl>
    <w:p w14:paraId="227C1DEA" w14:textId="171EE1B1" w:rsidR="00720C06" w:rsidRDefault="00720C06" w:rsidP="00720C06">
      <w:pPr>
        <w:spacing w:before="0" w:after="0"/>
        <w:ind w:hanging="567"/>
        <w:rPr>
          <w:rFonts w:ascii="Verdana" w:eastAsia="Verdana" w:hAnsi="Verdana" w:cs="Verdana"/>
          <w:color w:val="000000" w:themeColor="text1"/>
          <w:sz w:val="14"/>
          <w:szCs w:val="14"/>
        </w:rPr>
      </w:pPr>
    </w:p>
    <w:sectPr w:rsidR="00720C06" w:rsidSect="00DD2173">
      <w:headerReference w:type="even" r:id="rId49"/>
      <w:headerReference w:type="default" r:id="rId50"/>
      <w:footerReference w:type="even" r:id="rId51"/>
      <w:footerReference w:type="default" r:id="rId52"/>
      <w:headerReference w:type="first" r:id="rId53"/>
      <w:footerReference w:type="first" r:id="rId54"/>
      <w:pgSz w:w="23811" w:h="16838" w:orient="landscape" w:code="8"/>
      <w:pgMar w:top="1134" w:right="810" w:bottom="1134" w:left="1474" w:header="454" w:footer="57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0C960" w14:textId="77777777" w:rsidR="00760C0A" w:rsidRDefault="00760C0A" w:rsidP="004751B4">
      <w:r>
        <w:separator/>
      </w:r>
    </w:p>
  </w:endnote>
  <w:endnote w:type="continuationSeparator" w:id="0">
    <w:p w14:paraId="310E6E4B" w14:textId="77777777" w:rsidR="00760C0A" w:rsidRDefault="00760C0A" w:rsidP="004751B4">
      <w:r>
        <w:continuationSeparator/>
      </w:r>
    </w:p>
  </w:endnote>
  <w:endnote w:type="continuationNotice" w:id="1">
    <w:p w14:paraId="431E1E2A" w14:textId="77777777" w:rsidR="00760C0A" w:rsidRDefault="00760C0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75AD9" w14:textId="214AEE91" w:rsidR="00B563D4" w:rsidRDefault="00B563D4">
    <w:pPr>
      <w:pStyle w:val="Footer"/>
    </w:pPr>
    <w:r>
      <w:rPr>
        <w:noProof/>
      </w:rPr>
      <mc:AlternateContent>
        <mc:Choice Requires="wps">
          <w:drawing>
            <wp:anchor distT="0" distB="0" distL="0" distR="0" simplePos="0" relativeHeight="251658244" behindDoc="0" locked="0" layoutInCell="1" allowOverlap="1" wp14:anchorId="52AF07E4" wp14:editId="2BC4BBD7">
              <wp:simplePos x="635" y="635"/>
              <wp:positionH relativeFrom="page">
                <wp:align>center</wp:align>
              </wp:positionH>
              <wp:positionV relativeFrom="page">
                <wp:align>bottom</wp:align>
              </wp:positionV>
              <wp:extent cx="551815" cy="508000"/>
              <wp:effectExtent l="0" t="0" r="635" b="0"/>
              <wp:wrapNone/>
              <wp:docPr id="170709017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08000"/>
                      </a:xfrm>
                      <a:prstGeom prst="rect">
                        <a:avLst/>
                      </a:prstGeom>
                      <a:noFill/>
                      <a:ln>
                        <a:noFill/>
                      </a:ln>
                    </wps:spPr>
                    <wps:txbx>
                      <w:txbxContent>
                        <w:p w14:paraId="1B2C9916" w14:textId="18F98E8D" w:rsidR="00B563D4" w:rsidRPr="00B563D4" w:rsidRDefault="00B563D4" w:rsidP="00B563D4">
                          <w:pPr>
                            <w:spacing w:after="0"/>
                            <w:rPr>
                              <w:rFonts w:ascii="Calibri" w:eastAsia="Calibri" w:hAnsi="Calibri" w:cs="Calibri"/>
                              <w:noProof/>
                              <w:color w:val="FF0000"/>
                              <w:sz w:val="24"/>
                              <w:szCs w:val="24"/>
                            </w:rPr>
                          </w:pPr>
                          <w:r w:rsidRPr="00B563D4">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2AF07E4" id="_x0000_t202" coordsize="21600,21600" o:spt="202" path="m,l,21600r21600,l21600,xe">
              <v:stroke joinstyle="miter"/>
              <v:path gradientshapeok="t" o:connecttype="rect"/>
            </v:shapetype>
            <v:shape id="Text Box 5" o:spid="_x0000_s1028" type="#_x0000_t202" alt="OFFICIAL" style="position:absolute;margin-left:0;margin-top:0;width:43.45pt;height:40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" filled="f" stroked="f">
              <v:textbox style="mso-fit-shape-to-text:t" inset="0,0,0,15pt">
                <w:txbxContent>
                  <w:p w14:paraId="1B2C9916" w14:textId="18F98E8D" w:rsidR="00B563D4" w:rsidRPr="00B563D4" w:rsidRDefault="00B563D4" w:rsidP="00B563D4">
                    <w:pPr>
                      <w:spacing w:after="0"/>
                      <w:rPr>
                        <w:rFonts w:ascii="Calibri" w:eastAsia="Calibri" w:hAnsi="Calibri" w:cs="Calibri"/>
                        <w:noProof/>
                        <w:color w:val="FF0000"/>
                        <w:sz w:val="24"/>
                        <w:szCs w:val="24"/>
                      </w:rPr>
                    </w:pPr>
                    <w:r w:rsidRPr="00B563D4">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657FD" w14:textId="2DBF6E7F" w:rsidR="000C7C68" w:rsidRPr="00016994" w:rsidRDefault="00A056A6" w:rsidP="79E0B78D">
    <w:pPr>
      <w:rPr>
        <w:rFonts w:ascii="Verdana" w:eastAsia="Verdana" w:hAnsi="Verdana" w:cs="Verdana"/>
        <w:color w:val="000000" w:themeColor="text1"/>
      </w:rPr>
    </w:pPr>
    <w:r w:rsidRPr="00016994">
      <w:rPr>
        <w:noProof/>
      </w:rPr>
      <w:t>THRIVE 2030</w:t>
    </w:r>
    <w:r w:rsidR="00602BAA" w:rsidRPr="00016994">
      <w:rPr>
        <w:noProof/>
      </w:rPr>
      <w:t xml:space="preserve"> Action Plan</w:t>
    </w:r>
    <w:r w:rsidR="00217B01" w:rsidRPr="00016994">
      <w:rPr>
        <w:rFonts w:ascii="Verdana" w:eastAsia="Verdana" w:hAnsi="Verdana" w:cs="Verdana"/>
        <w:color w:val="000000" w:themeColor="text1"/>
      </w:rPr>
      <w:t xml:space="preserve"> </w:t>
    </w:r>
    <w:r w:rsidR="0CE849B9" w:rsidRPr="00016994">
      <w:rPr>
        <w:rFonts w:ascii="Verdana" w:eastAsia="Verdana" w:hAnsi="Verdana" w:cs="Verdana"/>
        <w:color w:val="000000" w:themeColor="text1"/>
      </w:rPr>
      <w:t xml:space="preserve">– </w:t>
    </w:r>
    <w:r w:rsidRPr="00016994">
      <w:rPr>
        <w:rFonts w:ascii="Verdana" w:eastAsia="Verdana" w:hAnsi="Verdana" w:cs="Verdana"/>
        <w:color w:val="000000" w:themeColor="text1"/>
      </w:rPr>
      <w:t xml:space="preserve">Progress </w:t>
    </w:r>
    <w:r w:rsidR="00DD2173" w:rsidRPr="00016994">
      <w:rPr>
        <w:rFonts w:ascii="Verdana" w:eastAsia="Verdana" w:hAnsi="Verdana" w:cs="Verdana"/>
        <w:color w:val="000000" w:themeColor="text1"/>
      </w:rPr>
      <w:t xml:space="preserve">status </w:t>
    </w:r>
    <w:r w:rsidRPr="00016994">
      <w:rPr>
        <w:rFonts w:ascii="Verdana" w:eastAsia="Verdana" w:hAnsi="Verdana" w:cs="Verdana"/>
        <w:color w:val="000000" w:themeColor="text1"/>
      </w:rPr>
      <w:t>report</w:t>
    </w:r>
    <w:r w:rsidR="00A73C24">
      <w:rPr>
        <w:rFonts w:ascii="Verdana" w:eastAsia="Verdana" w:hAnsi="Verdana" w:cs="Verdana"/>
        <w:color w:val="000000" w:themeColor="text1"/>
      </w:rPr>
      <w:t>:</w:t>
    </w:r>
    <w:r w:rsidR="003A2A35">
      <w:rPr>
        <w:rFonts w:ascii="Verdana" w:eastAsia="Verdana" w:hAnsi="Verdana" w:cs="Verdana"/>
        <w:color w:val="000000" w:themeColor="text1"/>
      </w:rPr>
      <w:t xml:space="preserve"> </w:t>
    </w:r>
    <w:r w:rsidR="003D5429">
      <w:rPr>
        <w:rFonts w:ascii="Verdana" w:eastAsia="Verdana" w:hAnsi="Verdana" w:cs="Verdana"/>
        <w:color w:val="000000" w:themeColor="text1"/>
      </w:rPr>
      <w:t xml:space="preserve">1 </w:t>
    </w:r>
    <w:r w:rsidR="003A2A35">
      <w:rPr>
        <w:rFonts w:ascii="Verdana" w:eastAsia="Verdana" w:hAnsi="Verdana" w:cs="Verdana"/>
        <w:color w:val="000000" w:themeColor="text1"/>
      </w:rPr>
      <w:t>Ju</w:t>
    </w:r>
    <w:r w:rsidR="00F71D6E">
      <w:rPr>
        <w:rFonts w:ascii="Verdana" w:eastAsia="Verdana" w:hAnsi="Verdana" w:cs="Verdana"/>
        <w:color w:val="000000" w:themeColor="text1"/>
      </w:rPr>
      <w:t>ly</w:t>
    </w:r>
    <w:r w:rsidR="00A73C24">
      <w:rPr>
        <w:rFonts w:ascii="Verdana" w:eastAsia="Verdana" w:hAnsi="Verdana" w:cs="Verdana"/>
        <w:color w:val="000000" w:themeColor="text1"/>
      </w:rPr>
      <w:t>-</w:t>
    </w:r>
    <w:r w:rsidR="003D5429">
      <w:rPr>
        <w:rFonts w:ascii="Verdana" w:eastAsia="Verdana" w:hAnsi="Verdana" w:cs="Verdana"/>
        <w:color w:val="000000" w:themeColor="text1"/>
      </w:rPr>
      <w:t>30 September</w:t>
    </w:r>
    <w:r w:rsidR="003A2A35">
      <w:rPr>
        <w:rFonts w:ascii="Verdana" w:eastAsia="Verdana" w:hAnsi="Verdana" w:cs="Verdana"/>
        <w:color w:val="000000" w:themeColor="text1"/>
      </w:rPr>
      <w:t xml:space="preserve"> 2026</w:t>
    </w:r>
  </w:p>
  <w:p w14:paraId="4D25E214" w14:textId="77777777" w:rsidR="003A2A35" w:rsidRPr="00016994" w:rsidRDefault="003A2A35" w:rsidP="79E0B78D">
    <w:pPr>
      <w:rPr>
        <w:rFonts w:ascii="Verdana" w:eastAsia="Verdana" w:hAnsi="Verdana" w:cs="Verdana"/>
        <w:color w:val="000000" w:themeColor="text1"/>
      </w:rPr>
    </w:pPr>
  </w:p>
  <w:p w14:paraId="2E8741AE" w14:textId="6F241B40" w:rsidR="006B3279" w:rsidRPr="006B3279" w:rsidRDefault="006B3279" w:rsidP="79E0B78D">
    <w:r>
      <w:ptab w:relativeTo="margin" w:alignment="right" w:leader="none"/>
    </w:r>
    <w:r w:rsidRPr="006B3279">
      <w:rPr>
        <w:noProof/>
      </w:rPr>
      <w:fldChar w:fldCharType="begin"/>
    </w:r>
    <w:r w:rsidRPr="006B3279">
      <w:instrText xml:space="preserve"> PAGE   \* MERGEFORMAT </w:instrText>
    </w:r>
    <w:r w:rsidRPr="006B3279">
      <w:fldChar w:fldCharType="separate"/>
    </w:r>
    <w:r w:rsidR="0CE849B9">
      <w:rPr>
        <w:noProof/>
      </w:rPr>
      <w:t>2</w:t>
    </w:r>
    <w:r w:rsidRPr="006B3279">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E81D0" w14:textId="1AF7FF70" w:rsidR="00B7523B" w:rsidRPr="00B7523B" w:rsidRDefault="00B563D4" w:rsidP="004751B4">
    <w:pPr>
      <w:pStyle w:val="Footer"/>
    </w:pPr>
    <w:r>
      <w:rPr>
        <w:noProof/>
      </w:rPr>
      <mc:AlternateContent>
        <mc:Choice Requires="wps">
          <w:drawing>
            <wp:anchor distT="0" distB="0" distL="0" distR="0" simplePos="0" relativeHeight="251658243" behindDoc="0" locked="0" layoutInCell="1" allowOverlap="1" wp14:anchorId="370F2B9A" wp14:editId="3EA7A815">
              <wp:simplePos x="635" y="635"/>
              <wp:positionH relativeFrom="page">
                <wp:align>center</wp:align>
              </wp:positionH>
              <wp:positionV relativeFrom="page">
                <wp:align>bottom</wp:align>
              </wp:positionV>
              <wp:extent cx="551815" cy="508000"/>
              <wp:effectExtent l="0" t="0" r="635" b="0"/>
              <wp:wrapNone/>
              <wp:docPr id="36415697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08000"/>
                      </a:xfrm>
                      <a:prstGeom prst="rect">
                        <a:avLst/>
                      </a:prstGeom>
                      <a:noFill/>
                      <a:ln>
                        <a:noFill/>
                      </a:ln>
                    </wps:spPr>
                    <wps:txbx>
                      <w:txbxContent>
                        <w:p w14:paraId="04EBA915" w14:textId="5FC24D3D" w:rsidR="00B563D4" w:rsidRPr="00B563D4" w:rsidRDefault="00B563D4" w:rsidP="00B563D4">
                          <w:pPr>
                            <w:spacing w:after="0"/>
                            <w:rPr>
                              <w:rFonts w:ascii="Calibri" w:eastAsia="Calibri" w:hAnsi="Calibri" w:cs="Calibri"/>
                              <w:noProof/>
                              <w:color w:val="FF0000"/>
                              <w:sz w:val="24"/>
                              <w:szCs w:val="24"/>
                            </w:rPr>
                          </w:pPr>
                          <w:r w:rsidRPr="00B563D4">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0F2B9A" id="_x0000_t202" coordsize="21600,21600" o:spt="202" path="m,l,21600r21600,l21600,xe">
              <v:stroke joinstyle="miter"/>
              <v:path gradientshapeok="t" o:connecttype="rect"/>
            </v:shapetype>
            <v:shape id="Text Box 4" o:spid="_x0000_s1030" type="#_x0000_t202" alt="OFFICIAL" style="position:absolute;margin-left:0;margin-top:0;width:43.45pt;height:40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" filled="f" stroked="f">
              <v:textbox style="mso-fit-shape-to-text:t" inset="0,0,0,15pt">
                <w:txbxContent>
                  <w:p w14:paraId="04EBA915" w14:textId="5FC24D3D" w:rsidR="00B563D4" w:rsidRPr="00B563D4" w:rsidRDefault="00B563D4" w:rsidP="00B563D4">
                    <w:pPr>
                      <w:spacing w:after="0"/>
                      <w:rPr>
                        <w:rFonts w:ascii="Calibri" w:eastAsia="Calibri" w:hAnsi="Calibri" w:cs="Calibri"/>
                        <w:noProof/>
                        <w:color w:val="FF0000"/>
                        <w:sz w:val="24"/>
                        <w:szCs w:val="24"/>
                      </w:rPr>
                    </w:pPr>
                    <w:r w:rsidRPr="00B563D4">
                      <w:rPr>
                        <w:rFonts w:ascii="Calibri" w:eastAsia="Calibri" w:hAnsi="Calibri" w:cs="Calibri"/>
                        <w:noProof/>
                        <w:color w:val="FF0000"/>
                        <w:sz w:val="24"/>
                        <w:szCs w:val="24"/>
                      </w:rPr>
                      <w:t>OFFICIAL</w:t>
                    </w:r>
                  </w:p>
                </w:txbxContent>
              </v:textbox>
              <w10:wrap anchorx="page" anchory="page"/>
            </v:shape>
          </w:pict>
        </mc:Fallback>
      </mc:AlternateContent>
    </w:r>
    <w:r w:rsidR="00E47F64">
      <w:t>Add your document title here</w:t>
    </w:r>
    <w:r w:rsidR="00B7523B">
      <w:tab/>
    </w:r>
    <w:r w:rsidR="00B7523B">
      <w:ptab w:relativeTo="margin" w:alignment="right" w:leader="none"/>
    </w:r>
    <w:r w:rsidR="00B7523B" w:rsidRPr="006B3279">
      <w:fldChar w:fldCharType="begin"/>
    </w:r>
    <w:r w:rsidR="00B7523B" w:rsidRPr="006B3279">
      <w:instrText xml:space="preserve"> PAGE   \* MERGEFORMAT </w:instrText>
    </w:r>
    <w:r w:rsidR="00B7523B" w:rsidRPr="006B3279">
      <w:fldChar w:fldCharType="separate"/>
    </w:r>
    <w:r w:rsidR="00DF172A">
      <w:rPr>
        <w:noProof/>
      </w:rPr>
      <w:t>1</w:t>
    </w:r>
    <w:r w:rsidR="00B7523B" w:rsidRPr="006B3279">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D5B35" w14:textId="77777777" w:rsidR="00760C0A" w:rsidRDefault="00760C0A" w:rsidP="004751B4"/>
  </w:footnote>
  <w:footnote w:type="continuationSeparator" w:id="0">
    <w:p w14:paraId="0C2DF57C" w14:textId="77777777" w:rsidR="00760C0A" w:rsidRDefault="00760C0A" w:rsidP="004751B4">
      <w:r>
        <w:continuationSeparator/>
      </w:r>
    </w:p>
  </w:footnote>
  <w:footnote w:type="continuationNotice" w:id="1">
    <w:p w14:paraId="622776BB" w14:textId="77777777" w:rsidR="00760C0A" w:rsidRDefault="00760C0A">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54A87" w14:textId="4B6B3621" w:rsidR="00B563D4" w:rsidRDefault="00B563D4">
    <w:pPr>
      <w:pStyle w:val="Header"/>
    </w:pPr>
    <w:r>
      <w:rPr>
        <w:noProof/>
      </w:rPr>
      <mc:AlternateContent>
        <mc:Choice Requires="wps">
          <w:drawing>
            <wp:anchor distT="0" distB="0" distL="0" distR="0" simplePos="0" relativeHeight="251658241" behindDoc="0" locked="0" layoutInCell="1" allowOverlap="1" wp14:anchorId="6B085DC3" wp14:editId="127CDAC0">
              <wp:simplePos x="635" y="635"/>
              <wp:positionH relativeFrom="page">
                <wp:align>center</wp:align>
              </wp:positionH>
              <wp:positionV relativeFrom="page">
                <wp:align>top</wp:align>
              </wp:positionV>
              <wp:extent cx="551815" cy="508000"/>
              <wp:effectExtent l="0" t="0" r="635" b="6350"/>
              <wp:wrapNone/>
              <wp:docPr id="64970932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08000"/>
                      </a:xfrm>
                      <a:prstGeom prst="rect">
                        <a:avLst/>
                      </a:prstGeom>
                      <a:noFill/>
                      <a:ln>
                        <a:noFill/>
                      </a:ln>
                    </wps:spPr>
                    <wps:txbx>
                      <w:txbxContent>
                        <w:p w14:paraId="16C55BF8" w14:textId="2C65F843" w:rsidR="00B563D4" w:rsidRPr="00B563D4" w:rsidRDefault="00B563D4" w:rsidP="00B563D4">
                          <w:pPr>
                            <w:spacing w:after="0"/>
                            <w:rPr>
                              <w:rFonts w:ascii="Calibri" w:eastAsia="Calibri" w:hAnsi="Calibri" w:cs="Calibri"/>
                              <w:noProof/>
                              <w:color w:val="FF0000"/>
                              <w:sz w:val="24"/>
                              <w:szCs w:val="24"/>
                            </w:rPr>
                          </w:pPr>
                          <w:r w:rsidRPr="00B563D4">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085DC3" id="_x0000_t202" coordsize="21600,21600" o:spt="202" path="m,l,21600r21600,l21600,xe">
              <v:stroke joinstyle="miter"/>
              <v:path gradientshapeok="t" o:connecttype="rect"/>
            </v:shapetype>
            <v:shape id="Text Box 2" o:spid="_x0000_s1026" type="#_x0000_t202" alt="OFFICIAL" style="position:absolute;margin-left:0;margin-top:0;width:43.45pt;height:40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" filled="f" stroked="f">
              <v:textbox style="mso-fit-shape-to-text:t" inset="0,15pt,0,0">
                <w:txbxContent>
                  <w:p w14:paraId="16C55BF8" w14:textId="2C65F843" w:rsidR="00B563D4" w:rsidRPr="00B563D4" w:rsidRDefault="00B563D4" w:rsidP="00B563D4">
                    <w:pPr>
                      <w:spacing w:after="0"/>
                      <w:rPr>
                        <w:rFonts w:ascii="Calibri" w:eastAsia="Calibri" w:hAnsi="Calibri" w:cs="Calibri"/>
                        <w:noProof/>
                        <w:color w:val="FF0000"/>
                        <w:sz w:val="24"/>
                        <w:szCs w:val="24"/>
                      </w:rPr>
                    </w:pPr>
                    <w:r w:rsidRPr="00B563D4">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67BAB" w14:textId="7BAA987C" w:rsidR="00B563D4" w:rsidRDefault="00B563D4">
    <w:pPr>
      <w:pStyle w:val="Header"/>
    </w:pPr>
    <w:r>
      <w:rPr>
        <w:noProof/>
      </w:rPr>
      <mc:AlternateContent>
        <mc:Choice Requires="wps">
          <w:drawing>
            <wp:anchor distT="0" distB="0" distL="0" distR="0" simplePos="0" relativeHeight="251658242" behindDoc="0" locked="0" layoutInCell="1" allowOverlap="1" wp14:anchorId="5AA8C288" wp14:editId="56A61625">
              <wp:simplePos x="723900" y="285750"/>
              <wp:positionH relativeFrom="page">
                <wp:align>center</wp:align>
              </wp:positionH>
              <wp:positionV relativeFrom="page">
                <wp:align>top</wp:align>
              </wp:positionV>
              <wp:extent cx="551815" cy="508000"/>
              <wp:effectExtent l="0" t="0" r="635" b="6350"/>
              <wp:wrapNone/>
              <wp:docPr id="91647848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08000"/>
                      </a:xfrm>
                      <a:prstGeom prst="rect">
                        <a:avLst/>
                      </a:prstGeom>
                      <a:noFill/>
                      <a:ln>
                        <a:noFill/>
                      </a:ln>
                    </wps:spPr>
                    <wps:txbx>
                      <w:txbxContent>
                        <w:p w14:paraId="4FF270DB" w14:textId="22E05242" w:rsidR="00B563D4" w:rsidRPr="00B563D4" w:rsidRDefault="00B563D4" w:rsidP="00B563D4">
                          <w:pPr>
                            <w:spacing w:after="0"/>
                            <w:rPr>
                              <w:rFonts w:ascii="Calibri" w:eastAsia="Calibri" w:hAnsi="Calibri" w:cs="Calibri"/>
                              <w:noProof/>
                              <w:color w:val="FF0000"/>
                              <w:sz w:val="24"/>
                              <w:szCs w:val="24"/>
                            </w:rPr>
                          </w:pPr>
                          <w:r w:rsidRPr="00B563D4">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AA8C288" id="_x0000_t202" coordsize="21600,21600" o:spt="202" path="m,l,21600r21600,l21600,xe">
              <v:stroke joinstyle="miter"/>
              <v:path gradientshapeok="t" o:connecttype="rect"/>
            </v:shapetype>
            <v:shape id="Text Box 3" o:spid="_x0000_s1027" type="#_x0000_t202" alt="OFFICIAL" style="position:absolute;margin-left:0;margin-top:0;width:43.45pt;height:40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" filled="f" stroked="f">
              <v:textbox style="mso-fit-shape-to-text:t" inset="0,15pt,0,0">
                <w:txbxContent>
                  <w:p w14:paraId="4FF270DB" w14:textId="22E05242" w:rsidR="00B563D4" w:rsidRPr="00B563D4" w:rsidRDefault="00B563D4" w:rsidP="00B563D4">
                    <w:pPr>
                      <w:spacing w:after="0"/>
                      <w:rPr>
                        <w:rFonts w:ascii="Calibri" w:eastAsia="Calibri" w:hAnsi="Calibri" w:cs="Calibri"/>
                        <w:noProof/>
                        <w:color w:val="FF0000"/>
                        <w:sz w:val="24"/>
                        <w:szCs w:val="24"/>
                      </w:rPr>
                    </w:pPr>
                    <w:r w:rsidRPr="00B563D4">
                      <w:rPr>
                        <w:rFonts w:ascii="Calibri" w:eastAsia="Calibri" w:hAnsi="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68042" w14:textId="4AE30B29" w:rsidR="00B563D4" w:rsidRDefault="00B563D4">
    <w:pPr>
      <w:pStyle w:val="Header"/>
    </w:pPr>
    <w:r>
      <w:rPr>
        <w:noProof/>
      </w:rPr>
      <mc:AlternateContent>
        <mc:Choice Requires="wps">
          <w:drawing>
            <wp:anchor distT="0" distB="0" distL="0" distR="0" simplePos="0" relativeHeight="251658240" behindDoc="0" locked="0" layoutInCell="1" allowOverlap="1" wp14:anchorId="03300F92" wp14:editId="1D829AF4">
              <wp:simplePos x="635" y="635"/>
              <wp:positionH relativeFrom="page">
                <wp:align>center</wp:align>
              </wp:positionH>
              <wp:positionV relativeFrom="page">
                <wp:align>top</wp:align>
              </wp:positionV>
              <wp:extent cx="551815" cy="508000"/>
              <wp:effectExtent l="0" t="0" r="635" b="6350"/>
              <wp:wrapNone/>
              <wp:docPr id="42723142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08000"/>
                      </a:xfrm>
                      <a:prstGeom prst="rect">
                        <a:avLst/>
                      </a:prstGeom>
                      <a:noFill/>
                      <a:ln>
                        <a:noFill/>
                      </a:ln>
                    </wps:spPr>
                    <wps:txbx>
                      <w:txbxContent>
                        <w:p w14:paraId="673EB788" w14:textId="6C13CB4C" w:rsidR="00B563D4" w:rsidRPr="00B563D4" w:rsidRDefault="00B563D4" w:rsidP="00B563D4">
                          <w:pPr>
                            <w:spacing w:after="0"/>
                            <w:rPr>
                              <w:rFonts w:ascii="Calibri" w:eastAsia="Calibri" w:hAnsi="Calibri" w:cs="Calibri"/>
                              <w:noProof/>
                              <w:color w:val="FF0000"/>
                              <w:sz w:val="24"/>
                              <w:szCs w:val="24"/>
                            </w:rPr>
                          </w:pPr>
                          <w:r w:rsidRPr="00B563D4">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300F92" id="_x0000_t202" coordsize="21600,21600" o:spt="202" path="m,l,21600r21600,l21600,xe">
              <v:stroke joinstyle="miter"/>
              <v:path gradientshapeok="t" o:connecttype="rect"/>
            </v:shapetype>
            <v:shape id="Text Box 1" o:spid="_x0000_s1029" type="#_x0000_t202" alt="OFFICIAL" style="position:absolute;margin-left:0;margin-top:0;width:43.45pt;height:40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" filled="f" stroked="f">
              <v:textbox style="mso-fit-shape-to-text:t" inset="0,15pt,0,0">
                <w:txbxContent>
                  <w:p w14:paraId="673EB788" w14:textId="6C13CB4C" w:rsidR="00B563D4" w:rsidRPr="00B563D4" w:rsidRDefault="00B563D4" w:rsidP="00B563D4">
                    <w:pPr>
                      <w:spacing w:after="0"/>
                      <w:rPr>
                        <w:rFonts w:ascii="Calibri" w:eastAsia="Calibri" w:hAnsi="Calibri" w:cs="Calibri"/>
                        <w:noProof/>
                        <w:color w:val="FF0000"/>
                        <w:sz w:val="24"/>
                        <w:szCs w:val="24"/>
                      </w:rPr>
                    </w:pPr>
                    <w:r w:rsidRPr="00B563D4">
                      <w:rPr>
                        <w:rFonts w:ascii="Calibri" w:eastAsia="Calibri" w:hAnsi="Calibri" w:cs="Calibri"/>
                        <w:noProof/>
                        <w:color w:val="FF0000"/>
                        <w:sz w:val="24"/>
                        <w:szCs w:val="24"/>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CSf5X2jSr6+FHa" int2:id="J77Go1zY">
      <int2:state int2:value="Rejected" int2:type="spell"/>
    </int2:textHash>
    <int2:textHash int2:hashCode="hJQ59B9+9e4r0o" int2:id="ZxAFuCtO">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0444"/>
    <w:multiLevelType w:val="multilevel"/>
    <w:tmpl w:val="B84CC4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D7565E"/>
    <w:multiLevelType w:val="multilevel"/>
    <w:tmpl w:val="C4AC7668"/>
    <w:styleLink w:val="Headings"/>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000706E"/>
    <w:multiLevelType w:val="hybridMultilevel"/>
    <w:tmpl w:val="1BF2809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158E0B42"/>
    <w:multiLevelType w:val="hybridMultilevel"/>
    <w:tmpl w:val="14F0BE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A1557AB"/>
    <w:multiLevelType w:val="hybridMultilevel"/>
    <w:tmpl w:val="F49A3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0DE2915"/>
    <w:multiLevelType w:val="hybridMultilevel"/>
    <w:tmpl w:val="8AE022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1492A6A"/>
    <w:multiLevelType w:val="hybridMultilevel"/>
    <w:tmpl w:val="9DCAE6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524048D"/>
    <w:multiLevelType w:val="hybridMultilevel"/>
    <w:tmpl w:val="8E9EAD7C"/>
    <w:lvl w:ilvl="0" w:tplc="20BC2BA0">
      <w:start w:val="1"/>
      <w:numFmt w:val="bullet"/>
      <w:lvlText w:val=""/>
      <w:lvlJc w:val="left"/>
      <w:pPr>
        <w:ind w:left="720" w:hanging="360"/>
      </w:pPr>
      <w:rPr>
        <w:rFonts w:ascii="Symbol" w:hAnsi="Symbol"/>
      </w:rPr>
    </w:lvl>
    <w:lvl w:ilvl="1" w:tplc="EB14ED46">
      <w:start w:val="1"/>
      <w:numFmt w:val="bullet"/>
      <w:lvlText w:val=""/>
      <w:lvlJc w:val="left"/>
      <w:pPr>
        <w:ind w:left="720" w:hanging="360"/>
      </w:pPr>
      <w:rPr>
        <w:rFonts w:ascii="Symbol" w:hAnsi="Symbol"/>
      </w:rPr>
    </w:lvl>
    <w:lvl w:ilvl="2" w:tplc="31608DB4">
      <w:start w:val="1"/>
      <w:numFmt w:val="bullet"/>
      <w:lvlText w:val=""/>
      <w:lvlJc w:val="left"/>
      <w:pPr>
        <w:ind w:left="720" w:hanging="360"/>
      </w:pPr>
      <w:rPr>
        <w:rFonts w:ascii="Symbol" w:hAnsi="Symbol"/>
      </w:rPr>
    </w:lvl>
    <w:lvl w:ilvl="3" w:tplc="BAB8AD8E">
      <w:start w:val="1"/>
      <w:numFmt w:val="bullet"/>
      <w:lvlText w:val=""/>
      <w:lvlJc w:val="left"/>
      <w:pPr>
        <w:ind w:left="720" w:hanging="360"/>
      </w:pPr>
      <w:rPr>
        <w:rFonts w:ascii="Symbol" w:hAnsi="Symbol"/>
      </w:rPr>
    </w:lvl>
    <w:lvl w:ilvl="4" w:tplc="B8C8786C">
      <w:start w:val="1"/>
      <w:numFmt w:val="bullet"/>
      <w:lvlText w:val=""/>
      <w:lvlJc w:val="left"/>
      <w:pPr>
        <w:ind w:left="720" w:hanging="360"/>
      </w:pPr>
      <w:rPr>
        <w:rFonts w:ascii="Symbol" w:hAnsi="Symbol"/>
      </w:rPr>
    </w:lvl>
    <w:lvl w:ilvl="5" w:tplc="3D4ACF9A">
      <w:start w:val="1"/>
      <w:numFmt w:val="bullet"/>
      <w:lvlText w:val=""/>
      <w:lvlJc w:val="left"/>
      <w:pPr>
        <w:ind w:left="720" w:hanging="360"/>
      </w:pPr>
      <w:rPr>
        <w:rFonts w:ascii="Symbol" w:hAnsi="Symbol"/>
      </w:rPr>
    </w:lvl>
    <w:lvl w:ilvl="6" w:tplc="0150DC80">
      <w:start w:val="1"/>
      <w:numFmt w:val="bullet"/>
      <w:lvlText w:val=""/>
      <w:lvlJc w:val="left"/>
      <w:pPr>
        <w:ind w:left="720" w:hanging="360"/>
      </w:pPr>
      <w:rPr>
        <w:rFonts w:ascii="Symbol" w:hAnsi="Symbol"/>
      </w:rPr>
    </w:lvl>
    <w:lvl w:ilvl="7" w:tplc="D0B40E94">
      <w:start w:val="1"/>
      <w:numFmt w:val="bullet"/>
      <w:lvlText w:val=""/>
      <w:lvlJc w:val="left"/>
      <w:pPr>
        <w:ind w:left="720" w:hanging="360"/>
      </w:pPr>
      <w:rPr>
        <w:rFonts w:ascii="Symbol" w:hAnsi="Symbol"/>
      </w:rPr>
    </w:lvl>
    <w:lvl w:ilvl="8" w:tplc="9560195E">
      <w:start w:val="1"/>
      <w:numFmt w:val="bullet"/>
      <w:lvlText w:val=""/>
      <w:lvlJc w:val="left"/>
      <w:pPr>
        <w:ind w:left="720" w:hanging="360"/>
      </w:pPr>
      <w:rPr>
        <w:rFonts w:ascii="Symbol" w:hAnsi="Symbol"/>
      </w:rPr>
    </w:lvl>
  </w:abstractNum>
  <w:abstractNum w:abstractNumId="8" w15:restartNumberingAfterBreak="0">
    <w:nsid w:val="395F1EBC"/>
    <w:multiLevelType w:val="hybridMultilevel"/>
    <w:tmpl w:val="9CB075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B8A67C8"/>
    <w:multiLevelType w:val="hybridMultilevel"/>
    <w:tmpl w:val="1B9ECC10"/>
    <w:lvl w:ilvl="0" w:tplc="147C3B2A">
      <w:start w:val="1"/>
      <w:numFmt w:val="bullet"/>
      <w:pStyle w:val="Table-bulle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FFE43BE"/>
    <w:multiLevelType w:val="multilevel"/>
    <w:tmpl w:val="F0187034"/>
    <w:lvl w:ilvl="0">
      <w:start w:val="1"/>
      <w:numFmt w:val="bullet"/>
      <w:pStyle w:val="ListBullet"/>
      <w:lvlText w:val=""/>
      <w:lvlJc w:val="left"/>
      <w:pPr>
        <w:ind w:left="284" w:hanging="284"/>
      </w:pPr>
      <w:rPr>
        <w:rFonts w:ascii="Symbol" w:hAnsi="Symbol" w:hint="default"/>
        <w:color w:val="2E1A47" w:themeColor="text2"/>
      </w:rPr>
    </w:lvl>
    <w:lvl w:ilvl="1">
      <w:start w:val="1"/>
      <w:numFmt w:val="bullet"/>
      <w:pStyle w:val="ListBullet2"/>
      <w:lvlText w:val="–"/>
      <w:lvlJc w:val="left"/>
      <w:pPr>
        <w:ind w:left="568" w:hanging="284"/>
      </w:pPr>
      <w:rPr>
        <w:rFonts w:ascii="Calibri" w:hAnsi="Calibri" w:hint="default"/>
        <w:color w:val="2E1A47" w:themeColor="text2"/>
      </w:rPr>
    </w:lvl>
    <w:lvl w:ilvl="2">
      <w:start w:val="1"/>
      <w:numFmt w:val="bullet"/>
      <w:pStyle w:val="ListBullet3"/>
      <w:lvlText w:val="–"/>
      <w:lvlJc w:val="left"/>
      <w:pPr>
        <w:ind w:left="852" w:hanging="284"/>
      </w:pPr>
      <w:rPr>
        <w:rFonts w:ascii="Calibri" w:hAnsi="Calibri" w:hint="default"/>
        <w:color w:val="2E1A47"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1" w15:restartNumberingAfterBreak="0">
    <w:nsid w:val="42A627C0"/>
    <w:multiLevelType w:val="hybridMultilevel"/>
    <w:tmpl w:val="48A2DA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47E5274"/>
    <w:multiLevelType w:val="multilevel"/>
    <w:tmpl w:val="3A80A07A"/>
    <w:lvl w:ilvl="0">
      <w:start w:val="1"/>
      <w:numFmt w:val="decimal"/>
      <w:pStyle w:val="ListNumber"/>
      <w:lvlText w:val="%1."/>
      <w:lvlJc w:val="left"/>
      <w:pPr>
        <w:ind w:left="284" w:hanging="284"/>
      </w:pPr>
      <w:rPr>
        <w:rFonts w:hint="default"/>
        <w:b/>
        <w:i w:val="0"/>
        <w:color w:val="auto"/>
      </w:rPr>
    </w:lvl>
    <w:lvl w:ilvl="1">
      <w:start w:val="1"/>
      <w:numFmt w:val="lowerLetter"/>
      <w:pStyle w:val="ListNumber2"/>
      <w:lvlText w:val="%2)"/>
      <w:lvlJc w:val="left"/>
      <w:pPr>
        <w:ind w:left="568" w:hanging="284"/>
      </w:pPr>
      <w:rPr>
        <w:rFonts w:hint="default"/>
        <w:color w:val="auto"/>
      </w:rPr>
    </w:lvl>
    <w:lvl w:ilvl="2">
      <w:start w:val="1"/>
      <w:numFmt w:val="lowerRoman"/>
      <w:pStyle w:val="ListNumber3"/>
      <w:lvlText w:val="%3."/>
      <w:lvlJc w:val="left"/>
      <w:pPr>
        <w:ind w:left="852" w:hanging="284"/>
      </w:pPr>
      <w:rPr>
        <w:rFonts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3" w15:restartNumberingAfterBreak="0">
    <w:nsid w:val="4D643664"/>
    <w:multiLevelType w:val="hybridMultilevel"/>
    <w:tmpl w:val="A134CC02"/>
    <w:lvl w:ilvl="0" w:tplc="DFC08DC6">
      <w:start w:val="1"/>
      <w:numFmt w:val="decimal"/>
      <w:pStyle w:val="NumberedList1"/>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51294EA2"/>
    <w:multiLevelType w:val="hybridMultilevel"/>
    <w:tmpl w:val="C9F8A6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44352BF"/>
    <w:multiLevelType w:val="hybridMultilevel"/>
    <w:tmpl w:val="3D484B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62C198C"/>
    <w:multiLevelType w:val="hybridMultilevel"/>
    <w:tmpl w:val="94E21D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1D86A90"/>
    <w:multiLevelType w:val="hybridMultilevel"/>
    <w:tmpl w:val="CE564F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6EC2DAF"/>
    <w:multiLevelType w:val="multilevel"/>
    <w:tmpl w:val="81A28C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8042D36"/>
    <w:multiLevelType w:val="hybridMultilevel"/>
    <w:tmpl w:val="48FC39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BC06A56"/>
    <w:multiLevelType w:val="hybridMultilevel"/>
    <w:tmpl w:val="68064E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46F0D98"/>
    <w:multiLevelType w:val="hybridMultilevel"/>
    <w:tmpl w:val="79DA1F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6E15F97"/>
    <w:multiLevelType w:val="hybridMultilevel"/>
    <w:tmpl w:val="EDE29238"/>
    <w:lvl w:ilvl="0" w:tplc="12BCF6FA">
      <w:start w:val="1"/>
      <w:numFmt w:val="bullet"/>
      <w:lvlText w:val=""/>
      <w:lvlJc w:val="left"/>
      <w:pPr>
        <w:ind w:left="1440" w:hanging="360"/>
      </w:pPr>
      <w:rPr>
        <w:rFonts w:ascii="Symbol" w:hAnsi="Symbol"/>
      </w:rPr>
    </w:lvl>
    <w:lvl w:ilvl="1" w:tplc="7DEAE23A">
      <w:start w:val="1"/>
      <w:numFmt w:val="bullet"/>
      <w:lvlText w:val=""/>
      <w:lvlJc w:val="left"/>
      <w:pPr>
        <w:ind w:left="1440" w:hanging="360"/>
      </w:pPr>
      <w:rPr>
        <w:rFonts w:ascii="Symbol" w:hAnsi="Symbol"/>
      </w:rPr>
    </w:lvl>
    <w:lvl w:ilvl="2" w:tplc="65B6941A">
      <w:start w:val="1"/>
      <w:numFmt w:val="bullet"/>
      <w:lvlText w:val=""/>
      <w:lvlJc w:val="left"/>
      <w:pPr>
        <w:ind w:left="1440" w:hanging="360"/>
      </w:pPr>
      <w:rPr>
        <w:rFonts w:ascii="Symbol" w:hAnsi="Symbol"/>
      </w:rPr>
    </w:lvl>
    <w:lvl w:ilvl="3" w:tplc="4652212E">
      <w:start w:val="1"/>
      <w:numFmt w:val="bullet"/>
      <w:lvlText w:val=""/>
      <w:lvlJc w:val="left"/>
      <w:pPr>
        <w:ind w:left="1440" w:hanging="360"/>
      </w:pPr>
      <w:rPr>
        <w:rFonts w:ascii="Symbol" w:hAnsi="Symbol"/>
      </w:rPr>
    </w:lvl>
    <w:lvl w:ilvl="4" w:tplc="470AD846">
      <w:start w:val="1"/>
      <w:numFmt w:val="bullet"/>
      <w:lvlText w:val=""/>
      <w:lvlJc w:val="left"/>
      <w:pPr>
        <w:ind w:left="1440" w:hanging="360"/>
      </w:pPr>
      <w:rPr>
        <w:rFonts w:ascii="Symbol" w:hAnsi="Symbol"/>
      </w:rPr>
    </w:lvl>
    <w:lvl w:ilvl="5" w:tplc="95289F38">
      <w:start w:val="1"/>
      <w:numFmt w:val="bullet"/>
      <w:lvlText w:val=""/>
      <w:lvlJc w:val="left"/>
      <w:pPr>
        <w:ind w:left="1440" w:hanging="360"/>
      </w:pPr>
      <w:rPr>
        <w:rFonts w:ascii="Symbol" w:hAnsi="Symbol"/>
      </w:rPr>
    </w:lvl>
    <w:lvl w:ilvl="6" w:tplc="8D7EBAE6">
      <w:start w:val="1"/>
      <w:numFmt w:val="bullet"/>
      <w:lvlText w:val=""/>
      <w:lvlJc w:val="left"/>
      <w:pPr>
        <w:ind w:left="1440" w:hanging="360"/>
      </w:pPr>
      <w:rPr>
        <w:rFonts w:ascii="Symbol" w:hAnsi="Symbol"/>
      </w:rPr>
    </w:lvl>
    <w:lvl w:ilvl="7" w:tplc="8AF443C4">
      <w:start w:val="1"/>
      <w:numFmt w:val="bullet"/>
      <w:lvlText w:val=""/>
      <w:lvlJc w:val="left"/>
      <w:pPr>
        <w:ind w:left="1440" w:hanging="360"/>
      </w:pPr>
      <w:rPr>
        <w:rFonts w:ascii="Symbol" w:hAnsi="Symbol"/>
      </w:rPr>
    </w:lvl>
    <w:lvl w:ilvl="8" w:tplc="297A701A">
      <w:start w:val="1"/>
      <w:numFmt w:val="bullet"/>
      <w:lvlText w:val=""/>
      <w:lvlJc w:val="left"/>
      <w:pPr>
        <w:ind w:left="1440" w:hanging="360"/>
      </w:pPr>
      <w:rPr>
        <w:rFonts w:ascii="Symbol" w:hAnsi="Symbol"/>
      </w:rPr>
    </w:lvl>
  </w:abstractNum>
  <w:abstractNum w:abstractNumId="23" w15:restartNumberingAfterBreak="0">
    <w:nsid w:val="78505707"/>
    <w:multiLevelType w:val="hybridMultilevel"/>
    <w:tmpl w:val="8908A3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67639747">
    <w:abstractNumId w:val="1"/>
  </w:num>
  <w:num w:numId="2" w16cid:durableId="215548763">
    <w:abstractNumId w:val="10"/>
  </w:num>
  <w:num w:numId="3" w16cid:durableId="1192300959">
    <w:abstractNumId w:val="12"/>
  </w:num>
  <w:num w:numId="4" w16cid:durableId="1764372303">
    <w:abstractNumId w:val="13"/>
  </w:num>
  <w:num w:numId="5" w16cid:durableId="1856650662">
    <w:abstractNumId w:val="9"/>
  </w:num>
  <w:num w:numId="6" w16cid:durableId="327483891">
    <w:abstractNumId w:val="20"/>
  </w:num>
  <w:num w:numId="7" w16cid:durableId="314264309">
    <w:abstractNumId w:val="16"/>
  </w:num>
  <w:num w:numId="8" w16cid:durableId="843205848">
    <w:abstractNumId w:val="8"/>
  </w:num>
  <w:num w:numId="9" w16cid:durableId="937561228">
    <w:abstractNumId w:val="0"/>
  </w:num>
  <w:num w:numId="10" w16cid:durableId="1547254318">
    <w:abstractNumId w:val="11"/>
  </w:num>
  <w:num w:numId="11" w16cid:durableId="2029796895">
    <w:abstractNumId w:val="23"/>
  </w:num>
  <w:num w:numId="12" w16cid:durableId="1152139969">
    <w:abstractNumId w:val="3"/>
  </w:num>
  <w:num w:numId="13" w16cid:durableId="599336791">
    <w:abstractNumId w:val="21"/>
  </w:num>
  <w:num w:numId="14" w16cid:durableId="1989821254">
    <w:abstractNumId w:val="6"/>
  </w:num>
  <w:num w:numId="15" w16cid:durableId="1466119695">
    <w:abstractNumId w:val="4"/>
  </w:num>
  <w:num w:numId="16" w16cid:durableId="1491100497">
    <w:abstractNumId w:val="15"/>
  </w:num>
  <w:num w:numId="17" w16cid:durableId="1472016233">
    <w:abstractNumId w:val="2"/>
  </w:num>
  <w:num w:numId="18" w16cid:durableId="1687051108">
    <w:abstractNumId w:val="19"/>
  </w:num>
  <w:num w:numId="19" w16cid:durableId="252056313">
    <w:abstractNumId w:val="5"/>
  </w:num>
  <w:num w:numId="20" w16cid:durableId="145099223">
    <w:abstractNumId w:val="22"/>
  </w:num>
  <w:num w:numId="21" w16cid:durableId="1049066522">
    <w:abstractNumId w:val="7"/>
  </w:num>
  <w:num w:numId="22" w16cid:durableId="648485668">
    <w:abstractNumId w:val="17"/>
  </w:num>
  <w:num w:numId="23" w16cid:durableId="1769153414">
    <w:abstractNumId w:val="18"/>
  </w:num>
  <w:num w:numId="24" w16cid:durableId="1787581343">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3D4"/>
    <w:rsid w:val="00000078"/>
    <w:rsid w:val="00000289"/>
    <w:rsid w:val="0000042C"/>
    <w:rsid w:val="0000074D"/>
    <w:rsid w:val="00000A2B"/>
    <w:rsid w:val="00000F05"/>
    <w:rsid w:val="00001259"/>
    <w:rsid w:val="00001759"/>
    <w:rsid w:val="00001D81"/>
    <w:rsid w:val="00001E21"/>
    <w:rsid w:val="000020FB"/>
    <w:rsid w:val="000024AF"/>
    <w:rsid w:val="00002B86"/>
    <w:rsid w:val="00002BBF"/>
    <w:rsid w:val="00002FA9"/>
    <w:rsid w:val="00003409"/>
    <w:rsid w:val="0000347C"/>
    <w:rsid w:val="00003BB4"/>
    <w:rsid w:val="00003BFC"/>
    <w:rsid w:val="00003E46"/>
    <w:rsid w:val="000044EF"/>
    <w:rsid w:val="0000484C"/>
    <w:rsid w:val="00004BFE"/>
    <w:rsid w:val="00005B1D"/>
    <w:rsid w:val="00005B38"/>
    <w:rsid w:val="00005CA5"/>
    <w:rsid w:val="000060F8"/>
    <w:rsid w:val="00006893"/>
    <w:rsid w:val="00007170"/>
    <w:rsid w:val="000077A0"/>
    <w:rsid w:val="00007835"/>
    <w:rsid w:val="00007B93"/>
    <w:rsid w:val="00010069"/>
    <w:rsid w:val="0001019B"/>
    <w:rsid w:val="000107B9"/>
    <w:rsid w:val="000107D4"/>
    <w:rsid w:val="00011293"/>
    <w:rsid w:val="0001147A"/>
    <w:rsid w:val="000116D6"/>
    <w:rsid w:val="00011C34"/>
    <w:rsid w:val="00011F65"/>
    <w:rsid w:val="00012459"/>
    <w:rsid w:val="000128E4"/>
    <w:rsid w:val="00012A07"/>
    <w:rsid w:val="000131AB"/>
    <w:rsid w:val="00013526"/>
    <w:rsid w:val="00013785"/>
    <w:rsid w:val="000138FF"/>
    <w:rsid w:val="00014671"/>
    <w:rsid w:val="00014D03"/>
    <w:rsid w:val="00015433"/>
    <w:rsid w:val="00015F97"/>
    <w:rsid w:val="000163EF"/>
    <w:rsid w:val="00016994"/>
    <w:rsid w:val="00016BE8"/>
    <w:rsid w:val="000175B9"/>
    <w:rsid w:val="0001786B"/>
    <w:rsid w:val="000202DC"/>
    <w:rsid w:val="000205E4"/>
    <w:rsid w:val="00020AF1"/>
    <w:rsid w:val="00020EAC"/>
    <w:rsid w:val="00021127"/>
    <w:rsid w:val="00021E14"/>
    <w:rsid w:val="00021E20"/>
    <w:rsid w:val="0002223C"/>
    <w:rsid w:val="00022B7B"/>
    <w:rsid w:val="00022C38"/>
    <w:rsid w:val="00022F33"/>
    <w:rsid w:val="00023257"/>
    <w:rsid w:val="0002350A"/>
    <w:rsid w:val="00024869"/>
    <w:rsid w:val="00024926"/>
    <w:rsid w:val="0002678E"/>
    <w:rsid w:val="000268E7"/>
    <w:rsid w:val="00026920"/>
    <w:rsid w:val="00026977"/>
    <w:rsid w:val="00027624"/>
    <w:rsid w:val="000277EB"/>
    <w:rsid w:val="00027F09"/>
    <w:rsid w:val="00030C64"/>
    <w:rsid w:val="00030F84"/>
    <w:rsid w:val="0003146B"/>
    <w:rsid w:val="00031789"/>
    <w:rsid w:val="00031AFB"/>
    <w:rsid w:val="00031DAA"/>
    <w:rsid w:val="00032DAE"/>
    <w:rsid w:val="00032EC0"/>
    <w:rsid w:val="00032FD0"/>
    <w:rsid w:val="00033042"/>
    <w:rsid w:val="00033B40"/>
    <w:rsid w:val="00033EED"/>
    <w:rsid w:val="00033F27"/>
    <w:rsid w:val="000341D9"/>
    <w:rsid w:val="0003429D"/>
    <w:rsid w:val="00034423"/>
    <w:rsid w:val="00034B63"/>
    <w:rsid w:val="00035567"/>
    <w:rsid w:val="00035911"/>
    <w:rsid w:val="000362A9"/>
    <w:rsid w:val="00036353"/>
    <w:rsid w:val="000366E3"/>
    <w:rsid w:val="000373F0"/>
    <w:rsid w:val="000374B9"/>
    <w:rsid w:val="00037710"/>
    <w:rsid w:val="00037C76"/>
    <w:rsid w:val="00037DA6"/>
    <w:rsid w:val="00037EEA"/>
    <w:rsid w:val="00041025"/>
    <w:rsid w:val="000419EC"/>
    <w:rsid w:val="00041DB4"/>
    <w:rsid w:val="000426BC"/>
    <w:rsid w:val="0004298E"/>
    <w:rsid w:val="00042DFA"/>
    <w:rsid w:val="000443C8"/>
    <w:rsid w:val="000443F5"/>
    <w:rsid w:val="00044563"/>
    <w:rsid w:val="00044CC6"/>
    <w:rsid w:val="00044FD8"/>
    <w:rsid w:val="000452D9"/>
    <w:rsid w:val="0004538C"/>
    <w:rsid w:val="0004588C"/>
    <w:rsid w:val="00045932"/>
    <w:rsid w:val="00046E3E"/>
    <w:rsid w:val="00046E7E"/>
    <w:rsid w:val="00047112"/>
    <w:rsid w:val="000471F7"/>
    <w:rsid w:val="00047F64"/>
    <w:rsid w:val="000503C7"/>
    <w:rsid w:val="00050F7E"/>
    <w:rsid w:val="00050FC6"/>
    <w:rsid w:val="00051270"/>
    <w:rsid w:val="00051386"/>
    <w:rsid w:val="000517B8"/>
    <w:rsid w:val="00051AAD"/>
    <w:rsid w:val="00051F48"/>
    <w:rsid w:val="00052948"/>
    <w:rsid w:val="00052C73"/>
    <w:rsid w:val="000532F8"/>
    <w:rsid w:val="000536F2"/>
    <w:rsid w:val="00053872"/>
    <w:rsid w:val="00053A12"/>
    <w:rsid w:val="00053AAB"/>
    <w:rsid w:val="00053DC7"/>
    <w:rsid w:val="0005432A"/>
    <w:rsid w:val="000544F4"/>
    <w:rsid w:val="00054557"/>
    <w:rsid w:val="0005553A"/>
    <w:rsid w:val="00055745"/>
    <w:rsid w:val="00055DBA"/>
    <w:rsid w:val="00056427"/>
    <w:rsid w:val="0005655E"/>
    <w:rsid w:val="0005678C"/>
    <w:rsid w:val="00056994"/>
    <w:rsid w:val="00056A7D"/>
    <w:rsid w:val="00056C2F"/>
    <w:rsid w:val="00056DB1"/>
    <w:rsid w:val="00060514"/>
    <w:rsid w:val="00060A1E"/>
    <w:rsid w:val="00060DE9"/>
    <w:rsid w:val="00060E90"/>
    <w:rsid w:val="00061ABE"/>
    <w:rsid w:val="000621AE"/>
    <w:rsid w:val="00062BDC"/>
    <w:rsid w:val="000633E8"/>
    <w:rsid w:val="000634C4"/>
    <w:rsid w:val="0006395F"/>
    <w:rsid w:val="0006476D"/>
    <w:rsid w:val="00064EB3"/>
    <w:rsid w:val="0006517A"/>
    <w:rsid w:val="000652A1"/>
    <w:rsid w:val="000656E9"/>
    <w:rsid w:val="00065784"/>
    <w:rsid w:val="00065E8B"/>
    <w:rsid w:val="00066038"/>
    <w:rsid w:val="00066189"/>
    <w:rsid w:val="000662D2"/>
    <w:rsid w:val="00066BCE"/>
    <w:rsid w:val="00066D8E"/>
    <w:rsid w:val="00066F1F"/>
    <w:rsid w:val="000676CB"/>
    <w:rsid w:val="00067B7D"/>
    <w:rsid w:val="00067E0A"/>
    <w:rsid w:val="0007021F"/>
    <w:rsid w:val="00070966"/>
    <w:rsid w:val="00070967"/>
    <w:rsid w:val="000709F5"/>
    <w:rsid w:val="00070ACA"/>
    <w:rsid w:val="00070CD1"/>
    <w:rsid w:val="00070D1B"/>
    <w:rsid w:val="00070DCF"/>
    <w:rsid w:val="00070E2F"/>
    <w:rsid w:val="000717F4"/>
    <w:rsid w:val="00071E18"/>
    <w:rsid w:val="00072AB5"/>
    <w:rsid w:val="00072B48"/>
    <w:rsid w:val="00073138"/>
    <w:rsid w:val="00073618"/>
    <w:rsid w:val="00073675"/>
    <w:rsid w:val="000739E1"/>
    <w:rsid w:val="00073D70"/>
    <w:rsid w:val="000742CB"/>
    <w:rsid w:val="000746B0"/>
    <w:rsid w:val="00074D5F"/>
    <w:rsid w:val="00076683"/>
    <w:rsid w:val="00076997"/>
    <w:rsid w:val="00076E0B"/>
    <w:rsid w:val="00077005"/>
    <w:rsid w:val="00077495"/>
    <w:rsid w:val="00077785"/>
    <w:rsid w:val="00077899"/>
    <w:rsid w:val="00077D94"/>
    <w:rsid w:val="00080222"/>
    <w:rsid w:val="00080784"/>
    <w:rsid w:val="00080E22"/>
    <w:rsid w:val="00080E75"/>
    <w:rsid w:val="000817C4"/>
    <w:rsid w:val="00081A98"/>
    <w:rsid w:val="00082067"/>
    <w:rsid w:val="00082246"/>
    <w:rsid w:val="00082302"/>
    <w:rsid w:val="00082A1C"/>
    <w:rsid w:val="00082C8E"/>
    <w:rsid w:val="00082C92"/>
    <w:rsid w:val="00083A29"/>
    <w:rsid w:val="00083FC5"/>
    <w:rsid w:val="0008413F"/>
    <w:rsid w:val="000843E1"/>
    <w:rsid w:val="000848A0"/>
    <w:rsid w:val="00084AFB"/>
    <w:rsid w:val="0008573B"/>
    <w:rsid w:val="00086457"/>
    <w:rsid w:val="00086914"/>
    <w:rsid w:val="00086E9A"/>
    <w:rsid w:val="00086FA1"/>
    <w:rsid w:val="00087471"/>
    <w:rsid w:val="00087D9A"/>
    <w:rsid w:val="000901B7"/>
    <w:rsid w:val="00090263"/>
    <w:rsid w:val="00090538"/>
    <w:rsid w:val="00091083"/>
    <w:rsid w:val="000912DD"/>
    <w:rsid w:val="000914C5"/>
    <w:rsid w:val="00091637"/>
    <w:rsid w:val="00091CBB"/>
    <w:rsid w:val="00092060"/>
    <w:rsid w:val="00092269"/>
    <w:rsid w:val="0009250E"/>
    <w:rsid w:val="00092A1A"/>
    <w:rsid w:val="00092EB5"/>
    <w:rsid w:val="00092F4C"/>
    <w:rsid w:val="0009379D"/>
    <w:rsid w:val="00093899"/>
    <w:rsid w:val="00093AB2"/>
    <w:rsid w:val="000943FE"/>
    <w:rsid w:val="00094BBA"/>
    <w:rsid w:val="00095463"/>
    <w:rsid w:val="00096174"/>
    <w:rsid w:val="0009672B"/>
    <w:rsid w:val="00096ED6"/>
    <w:rsid w:val="00097313"/>
    <w:rsid w:val="000978CD"/>
    <w:rsid w:val="00097986"/>
    <w:rsid w:val="000979F6"/>
    <w:rsid w:val="000A0D38"/>
    <w:rsid w:val="000A0FC6"/>
    <w:rsid w:val="000A1A14"/>
    <w:rsid w:val="000A1B3F"/>
    <w:rsid w:val="000A1F09"/>
    <w:rsid w:val="000A25C4"/>
    <w:rsid w:val="000A2784"/>
    <w:rsid w:val="000A2A69"/>
    <w:rsid w:val="000A338D"/>
    <w:rsid w:val="000A37DB"/>
    <w:rsid w:val="000A3897"/>
    <w:rsid w:val="000A3E0D"/>
    <w:rsid w:val="000A48B7"/>
    <w:rsid w:val="000A549B"/>
    <w:rsid w:val="000A5889"/>
    <w:rsid w:val="000A6A84"/>
    <w:rsid w:val="000A71E1"/>
    <w:rsid w:val="000A774C"/>
    <w:rsid w:val="000A7E43"/>
    <w:rsid w:val="000A7FDC"/>
    <w:rsid w:val="000B0028"/>
    <w:rsid w:val="000B09B4"/>
    <w:rsid w:val="000B0D93"/>
    <w:rsid w:val="000B0F43"/>
    <w:rsid w:val="000B0F49"/>
    <w:rsid w:val="000B1137"/>
    <w:rsid w:val="000B1630"/>
    <w:rsid w:val="000B24DD"/>
    <w:rsid w:val="000B2F85"/>
    <w:rsid w:val="000B336D"/>
    <w:rsid w:val="000B3800"/>
    <w:rsid w:val="000B38F4"/>
    <w:rsid w:val="000B3AC8"/>
    <w:rsid w:val="000B48A6"/>
    <w:rsid w:val="000B5A3A"/>
    <w:rsid w:val="000B5C69"/>
    <w:rsid w:val="000B5F84"/>
    <w:rsid w:val="000B601E"/>
    <w:rsid w:val="000C019C"/>
    <w:rsid w:val="000C07F9"/>
    <w:rsid w:val="000C1454"/>
    <w:rsid w:val="000C1678"/>
    <w:rsid w:val="000C1B37"/>
    <w:rsid w:val="000C1FC6"/>
    <w:rsid w:val="000C23D2"/>
    <w:rsid w:val="000C2846"/>
    <w:rsid w:val="000C2F58"/>
    <w:rsid w:val="000C3255"/>
    <w:rsid w:val="000C3648"/>
    <w:rsid w:val="000C3D71"/>
    <w:rsid w:val="000C3F49"/>
    <w:rsid w:val="000C46B4"/>
    <w:rsid w:val="000C522F"/>
    <w:rsid w:val="000C5BA8"/>
    <w:rsid w:val="000C5EFD"/>
    <w:rsid w:val="000C65E7"/>
    <w:rsid w:val="000C6940"/>
    <w:rsid w:val="000C6BB9"/>
    <w:rsid w:val="000C714A"/>
    <w:rsid w:val="000C7606"/>
    <w:rsid w:val="000C7C68"/>
    <w:rsid w:val="000D07CB"/>
    <w:rsid w:val="000D10F0"/>
    <w:rsid w:val="000D1102"/>
    <w:rsid w:val="000D117A"/>
    <w:rsid w:val="000D11E8"/>
    <w:rsid w:val="000D1205"/>
    <w:rsid w:val="000D18D6"/>
    <w:rsid w:val="000D28B2"/>
    <w:rsid w:val="000D3A12"/>
    <w:rsid w:val="000D3CAE"/>
    <w:rsid w:val="000D3CE6"/>
    <w:rsid w:val="000D3E53"/>
    <w:rsid w:val="000D3F18"/>
    <w:rsid w:val="000D3F39"/>
    <w:rsid w:val="000D44EB"/>
    <w:rsid w:val="000D45EC"/>
    <w:rsid w:val="000D4620"/>
    <w:rsid w:val="000D4D27"/>
    <w:rsid w:val="000D4DC7"/>
    <w:rsid w:val="000D57A5"/>
    <w:rsid w:val="000D5A15"/>
    <w:rsid w:val="000D624A"/>
    <w:rsid w:val="000D635E"/>
    <w:rsid w:val="000D63CE"/>
    <w:rsid w:val="000D66D5"/>
    <w:rsid w:val="000D6865"/>
    <w:rsid w:val="000D6CA7"/>
    <w:rsid w:val="000D6FC1"/>
    <w:rsid w:val="000D75B0"/>
    <w:rsid w:val="000D77B8"/>
    <w:rsid w:val="000E010B"/>
    <w:rsid w:val="000E01B1"/>
    <w:rsid w:val="000E0815"/>
    <w:rsid w:val="000E1938"/>
    <w:rsid w:val="000E1EEE"/>
    <w:rsid w:val="000E2279"/>
    <w:rsid w:val="000E285F"/>
    <w:rsid w:val="000E33E2"/>
    <w:rsid w:val="000E3578"/>
    <w:rsid w:val="000E3653"/>
    <w:rsid w:val="000E3795"/>
    <w:rsid w:val="000E5B8C"/>
    <w:rsid w:val="000E610C"/>
    <w:rsid w:val="000E6C31"/>
    <w:rsid w:val="000E6F51"/>
    <w:rsid w:val="000E71DD"/>
    <w:rsid w:val="000E7749"/>
    <w:rsid w:val="000F04AE"/>
    <w:rsid w:val="000F068E"/>
    <w:rsid w:val="000F06E8"/>
    <w:rsid w:val="000F07CF"/>
    <w:rsid w:val="000F0DB9"/>
    <w:rsid w:val="000F12D5"/>
    <w:rsid w:val="000F153B"/>
    <w:rsid w:val="000F17C9"/>
    <w:rsid w:val="000F1A42"/>
    <w:rsid w:val="000F1B75"/>
    <w:rsid w:val="000F1DC9"/>
    <w:rsid w:val="000F1FFC"/>
    <w:rsid w:val="000F2028"/>
    <w:rsid w:val="000F236A"/>
    <w:rsid w:val="000F24DA"/>
    <w:rsid w:val="000F2E1B"/>
    <w:rsid w:val="000F2E55"/>
    <w:rsid w:val="000F3151"/>
    <w:rsid w:val="000F50C1"/>
    <w:rsid w:val="000F5749"/>
    <w:rsid w:val="000F58C4"/>
    <w:rsid w:val="000F5DEE"/>
    <w:rsid w:val="000F60EB"/>
    <w:rsid w:val="000F68C0"/>
    <w:rsid w:val="000F6B60"/>
    <w:rsid w:val="000F6CAE"/>
    <w:rsid w:val="000F6F81"/>
    <w:rsid w:val="000F70E1"/>
    <w:rsid w:val="000F712C"/>
    <w:rsid w:val="000F72D1"/>
    <w:rsid w:val="000F742A"/>
    <w:rsid w:val="000F75E1"/>
    <w:rsid w:val="000F75FC"/>
    <w:rsid w:val="001001BF"/>
    <w:rsid w:val="0010076A"/>
    <w:rsid w:val="00100D32"/>
    <w:rsid w:val="00101191"/>
    <w:rsid w:val="001011D4"/>
    <w:rsid w:val="0010130A"/>
    <w:rsid w:val="00101F10"/>
    <w:rsid w:val="001024DE"/>
    <w:rsid w:val="001025D2"/>
    <w:rsid w:val="00102C6E"/>
    <w:rsid w:val="0010304C"/>
    <w:rsid w:val="00103411"/>
    <w:rsid w:val="00104AF3"/>
    <w:rsid w:val="001055EA"/>
    <w:rsid w:val="00105944"/>
    <w:rsid w:val="0010656D"/>
    <w:rsid w:val="0010696B"/>
    <w:rsid w:val="001069D0"/>
    <w:rsid w:val="00106B9A"/>
    <w:rsid w:val="00106E72"/>
    <w:rsid w:val="001072FC"/>
    <w:rsid w:val="00110406"/>
    <w:rsid w:val="00110476"/>
    <w:rsid w:val="001113D6"/>
    <w:rsid w:val="0011141B"/>
    <w:rsid w:val="001116A9"/>
    <w:rsid w:val="001123F8"/>
    <w:rsid w:val="00112839"/>
    <w:rsid w:val="00113D7B"/>
    <w:rsid w:val="001149F5"/>
    <w:rsid w:val="00114BFF"/>
    <w:rsid w:val="001166A3"/>
    <w:rsid w:val="00116B05"/>
    <w:rsid w:val="00120CD7"/>
    <w:rsid w:val="00120E6E"/>
    <w:rsid w:val="0012157B"/>
    <w:rsid w:val="0012174C"/>
    <w:rsid w:val="00121776"/>
    <w:rsid w:val="00121ED8"/>
    <w:rsid w:val="00121F1E"/>
    <w:rsid w:val="00122649"/>
    <w:rsid w:val="00122866"/>
    <w:rsid w:val="0012286C"/>
    <w:rsid w:val="00122B6B"/>
    <w:rsid w:val="001239E8"/>
    <w:rsid w:val="00123A8F"/>
    <w:rsid w:val="00123E67"/>
    <w:rsid w:val="00124120"/>
    <w:rsid w:val="001248DE"/>
    <w:rsid w:val="00124D05"/>
    <w:rsid w:val="00124DA1"/>
    <w:rsid w:val="00125940"/>
    <w:rsid w:val="00126A97"/>
    <w:rsid w:val="00127DFB"/>
    <w:rsid w:val="0013013E"/>
    <w:rsid w:val="001308AD"/>
    <w:rsid w:val="00130ED2"/>
    <w:rsid w:val="001310E1"/>
    <w:rsid w:val="001317DF"/>
    <w:rsid w:val="00131F60"/>
    <w:rsid w:val="0013255C"/>
    <w:rsid w:val="00132EEF"/>
    <w:rsid w:val="001335BB"/>
    <w:rsid w:val="001335DC"/>
    <w:rsid w:val="001336A4"/>
    <w:rsid w:val="00133A64"/>
    <w:rsid w:val="00133D15"/>
    <w:rsid w:val="00133F05"/>
    <w:rsid w:val="00133F40"/>
    <w:rsid w:val="0013471F"/>
    <w:rsid w:val="00134AC3"/>
    <w:rsid w:val="00134C58"/>
    <w:rsid w:val="001354CB"/>
    <w:rsid w:val="001358CA"/>
    <w:rsid w:val="0013610A"/>
    <w:rsid w:val="00136A38"/>
    <w:rsid w:val="00136F2F"/>
    <w:rsid w:val="00137564"/>
    <w:rsid w:val="00137D7A"/>
    <w:rsid w:val="00137EBA"/>
    <w:rsid w:val="00140614"/>
    <w:rsid w:val="00140EE6"/>
    <w:rsid w:val="00140FE5"/>
    <w:rsid w:val="00141573"/>
    <w:rsid w:val="00141696"/>
    <w:rsid w:val="001416A2"/>
    <w:rsid w:val="00141C15"/>
    <w:rsid w:val="00141C88"/>
    <w:rsid w:val="001423E8"/>
    <w:rsid w:val="001429CF"/>
    <w:rsid w:val="001429D0"/>
    <w:rsid w:val="00142FDC"/>
    <w:rsid w:val="00143469"/>
    <w:rsid w:val="00143689"/>
    <w:rsid w:val="00143F76"/>
    <w:rsid w:val="0014407F"/>
    <w:rsid w:val="001441A1"/>
    <w:rsid w:val="001442CF"/>
    <w:rsid w:val="00144B58"/>
    <w:rsid w:val="00144CB8"/>
    <w:rsid w:val="00145F74"/>
    <w:rsid w:val="00146135"/>
    <w:rsid w:val="00146376"/>
    <w:rsid w:val="00146521"/>
    <w:rsid w:val="001465C3"/>
    <w:rsid w:val="00146EFF"/>
    <w:rsid w:val="00147562"/>
    <w:rsid w:val="001477C5"/>
    <w:rsid w:val="00147E90"/>
    <w:rsid w:val="00150210"/>
    <w:rsid w:val="0015036D"/>
    <w:rsid w:val="00151725"/>
    <w:rsid w:val="001517B6"/>
    <w:rsid w:val="00151A9A"/>
    <w:rsid w:val="00151CFD"/>
    <w:rsid w:val="001522AE"/>
    <w:rsid w:val="00152541"/>
    <w:rsid w:val="00152836"/>
    <w:rsid w:val="00152FBD"/>
    <w:rsid w:val="001535A3"/>
    <w:rsid w:val="00153640"/>
    <w:rsid w:val="0015395A"/>
    <w:rsid w:val="001543D3"/>
    <w:rsid w:val="0015468B"/>
    <w:rsid w:val="0015490A"/>
    <w:rsid w:val="00155012"/>
    <w:rsid w:val="0015562A"/>
    <w:rsid w:val="00155A6D"/>
    <w:rsid w:val="001568BE"/>
    <w:rsid w:val="0015725A"/>
    <w:rsid w:val="00157BBC"/>
    <w:rsid w:val="00157E02"/>
    <w:rsid w:val="00160049"/>
    <w:rsid w:val="001607A9"/>
    <w:rsid w:val="0016082A"/>
    <w:rsid w:val="00160E51"/>
    <w:rsid w:val="001612BA"/>
    <w:rsid w:val="001618B7"/>
    <w:rsid w:val="00161D6A"/>
    <w:rsid w:val="0016236D"/>
    <w:rsid w:val="00162C7E"/>
    <w:rsid w:val="00162D58"/>
    <w:rsid w:val="00162D93"/>
    <w:rsid w:val="00162EAE"/>
    <w:rsid w:val="001635F0"/>
    <w:rsid w:val="00163B4C"/>
    <w:rsid w:val="00163BF6"/>
    <w:rsid w:val="00163C07"/>
    <w:rsid w:val="001641AE"/>
    <w:rsid w:val="00164BDB"/>
    <w:rsid w:val="00164C37"/>
    <w:rsid w:val="00164C55"/>
    <w:rsid w:val="00164D6A"/>
    <w:rsid w:val="00164DD4"/>
    <w:rsid w:val="00165905"/>
    <w:rsid w:val="00165D09"/>
    <w:rsid w:val="0016606F"/>
    <w:rsid w:val="0016609A"/>
    <w:rsid w:val="00166656"/>
    <w:rsid w:val="00166AE3"/>
    <w:rsid w:val="00166CED"/>
    <w:rsid w:val="00166EB0"/>
    <w:rsid w:val="00166EB4"/>
    <w:rsid w:val="001672CF"/>
    <w:rsid w:val="001705B7"/>
    <w:rsid w:val="001707F9"/>
    <w:rsid w:val="00170E31"/>
    <w:rsid w:val="00171702"/>
    <w:rsid w:val="00171763"/>
    <w:rsid w:val="001718CA"/>
    <w:rsid w:val="001718FE"/>
    <w:rsid w:val="00171AAA"/>
    <w:rsid w:val="00171D3D"/>
    <w:rsid w:val="00172226"/>
    <w:rsid w:val="00172CFD"/>
    <w:rsid w:val="00172D47"/>
    <w:rsid w:val="00172D80"/>
    <w:rsid w:val="0017315A"/>
    <w:rsid w:val="001731EE"/>
    <w:rsid w:val="001736D4"/>
    <w:rsid w:val="00173F3C"/>
    <w:rsid w:val="00174981"/>
    <w:rsid w:val="00174D8A"/>
    <w:rsid w:val="00175473"/>
    <w:rsid w:val="00175974"/>
    <w:rsid w:val="00175EB9"/>
    <w:rsid w:val="00176084"/>
    <w:rsid w:val="0017685D"/>
    <w:rsid w:val="00176CBA"/>
    <w:rsid w:val="00176DE1"/>
    <w:rsid w:val="00177481"/>
    <w:rsid w:val="00177A01"/>
    <w:rsid w:val="00180305"/>
    <w:rsid w:val="00180A6E"/>
    <w:rsid w:val="00180AB9"/>
    <w:rsid w:val="001810D7"/>
    <w:rsid w:val="00181272"/>
    <w:rsid w:val="00181C3B"/>
    <w:rsid w:val="00181D98"/>
    <w:rsid w:val="00181E66"/>
    <w:rsid w:val="001820AF"/>
    <w:rsid w:val="001826DA"/>
    <w:rsid w:val="001829B8"/>
    <w:rsid w:val="00182A1C"/>
    <w:rsid w:val="001835AF"/>
    <w:rsid w:val="00183A83"/>
    <w:rsid w:val="00183DA6"/>
    <w:rsid w:val="0018402D"/>
    <w:rsid w:val="00184335"/>
    <w:rsid w:val="00184BEA"/>
    <w:rsid w:val="0018647F"/>
    <w:rsid w:val="00186E03"/>
    <w:rsid w:val="00186F8A"/>
    <w:rsid w:val="001875F0"/>
    <w:rsid w:val="00187BB5"/>
    <w:rsid w:val="00187F39"/>
    <w:rsid w:val="00190862"/>
    <w:rsid w:val="0019095E"/>
    <w:rsid w:val="00190EAB"/>
    <w:rsid w:val="0019116C"/>
    <w:rsid w:val="001918A5"/>
    <w:rsid w:val="00191E47"/>
    <w:rsid w:val="00192830"/>
    <w:rsid w:val="00192BCB"/>
    <w:rsid w:val="00192C1A"/>
    <w:rsid w:val="0019308B"/>
    <w:rsid w:val="00193166"/>
    <w:rsid w:val="00193443"/>
    <w:rsid w:val="00193650"/>
    <w:rsid w:val="00193721"/>
    <w:rsid w:val="00193AD2"/>
    <w:rsid w:val="001944BF"/>
    <w:rsid w:val="00195378"/>
    <w:rsid w:val="0019578C"/>
    <w:rsid w:val="00195848"/>
    <w:rsid w:val="0019602B"/>
    <w:rsid w:val="001973E3"/>
    <w:rsid w:val="0019764D"/>
    <w:rsid w:val="001A01CC"/>
    <w:rsid w:val="001A14AB"/>
    <w:rsid w:val="001A15E4"/>
    <w:rsid w:val="001A2463"/>
    <w:rsid w:val="001A261E"/>
    <w:rsid w:val="001A3E68"/>
    <w:rsid w:val="001A3EFD"/>
    <w:rsid w:val="001A439B"/>
    <w:rsid w:val="001A4754"/>
    <w:rsid w:val="001A48DC"/>
    <w:rsid w:val="001A4A3E"/>
    <w:rsid w:val="001A50AC"/>
    <w:rsid w:val="001A529A"/>
    <w:rsid w:val="001A58AC"/>
    <w:rsid w:val="001A5949"/>
    <w:rsid w:val="001A6067"/>
    <w:rsid w:val="001A660C"/>
    <w:rsid w:val="001A694B"/>
    <w:rsid w:val="001A6A52"/>
    <w:rsid w:val="001A6C95"/>
    <w:rsid w:val="001A725A"/>
    <w:rsid w:val="001A7F81"/>
    <w:rsid w:val="001B0552"/>
    <w:rsid w:val="001B10F4"/>
    <w:rsid w:val="001B11DB"/>
    <w:rsid w:val="001B12C1"/>
    <w:rsid w:val="001B12F5"/>
    <w:rsid w:val="001B1697"/>
    <w:rsid w:val="001B1939"/>
    <w:rsid w:val="001B1AD3"/>
    <w:rsid w:val="001B2AF3"/>
    <w:rsid w:val="001B34EA"/>
    <w:rsid w:val="001B3794"/>
    <w:rsid w:val="001B396F"/>
    <w:rsid w:val="001B4332"/>
    <w:rsid w:val="001B46B5"/>
    <w:rsid w:val="001B4AEA"/>
    <w:rsid w:val="001B505B"/>
    <w:rsid w:val="001B51F5"/>
    <w:rsid w:val="001B592B"/>
    <w:rsid w:val="001B5AF4"/>
    <w:rsid w:val="001B6A80"/>
    <w:rsid w:val="001B7065"/>
    <w:rsid w:val="001B7701"/>
    <w:rsid w:val="001B771A"/>
    <w:rsid w:val="001B7B20"/>
    <w:rsid w:val="001C0BD0"/>
    <w:rsid w:val="001C0C53"/>
    <w:rsid w:val="001C13FE"/>
    <w:rsid w:val="001C2819"/>
    <w:rsid w:val="001C29BF"/>
    <w:rsid w:val="001C2F81"/>
    <w:rsid w:val="001C3252"/>
    <w:rsid w:val="001C32B2"/>
    <w:rsid w:val="001C3C09"/>
    <w:rsid w:val="001C48E4"/>
    <w:rsid w:val="001C4B71"/>
    <w:rsid w:val="001C4F01"/>
    <w:rsid w:val="001C5856"/>
    <w:rsid w:val="001C5971"/>
    <w:rsid w:val="001C5DF5"/>
    <w:rsid w:val="001C61E8"/>
    <w:rsid w:val="001C63B0"/>
    <w:rsid w:val="001C66DF"/>
    <w:rsid w:val="001C6BB9"/>
    <w:rsid w:val="001C6C10"/>
    <w:rsid w:val="001C6E84"/>
    <w:rsid w:val="001C7151"/>
    <w:rsid w:val="001C7A13"/>
    <w:rsid w:val="001C7F64"/>
    <w:rsid w:val="001D04F1"/>
    <w:rsid w:val="001D051A"/>
    <w:rsid w:val="001D0DEF"/>
    <w:rsid w:val="001D0E96"/>
    <w:rsid w:val="001D1462"/>
    <w:rsid w:val="001D1CAB"/>
    <w:rsid w:val="001D1FFA"/>
    <w:rsid w:val="001D2DAA"/>
    <w:rsid w:val="001D3000"/>
    <w:rsid w:val="001D311D"/>
    <w:rsid w:val="001D33FD"/>
    <w:rsid w:val="001D3623"/>
    <w:rsid w:val="001D3F48"/>
    <w:rsid w:val="001D45E4"/>
    <w:rsid w:val="001D4968"/>
    <w:rsid w:val="001D4AC0"/>
    <w:rsid w:val="001D56F3"/>
    <w:rsid w:val="001D5A1C"/>
    <w:rsid w:val="001D665C"/>
    <w:rsid w:val="001D7A8A"/>
    <w:rsid w:val="001D7D13"/>
    <w:rsid w:val="001D7F6C"/>
    <w:rsid w:val="001E057F"/>
    <w:rsid w:val="001E09CE"/>
    <w:rsid w:val="001E0EDE"/>
    <w:rsid w:val="001E1C87"/>
    <w:rsid w:val="001E237B"/>
    <w:rsid w:val="001E2410"/>
    <w:rsid w:val="001E2471"/>
    <w:rsid w:val="001E2B24"/>
    <w:rsid w:val="001E3134"/>
    <w:rsid w:val="001E342B"/>
    <w:rsid w:val="001E34BB"/>
    <w:rsid w:val="001E3692"/>
    <w:rsid w:val="001E432B"/>
    <w:rsid w:val="001E43C9"/>
    <w:rsid w:val="001E4ED4"/>
    <w:rsid w:val="001E67EC"/>
    <w:rsid w:val="001E6809"/>
    <w:rsid w:val="001E70C0"/>
    <w:rsid w:val="001E71CD"/>
    <w:rsid w:val="001E774C"/>
    <w:rsid w:val="001E7AA1"/>
    <w:rsid w:val="001E7E3E"/>
    <w:rsid w:val="001F000D"/>
    <w:rsid w:val="001F0133"/>
    <w:rsid w:val="001F0E1E"/>
    <w:rsid w:val="001F22C3"/>
    <w:rsid w:val="001F2416"/>
    <w:rsid w:val="001F297B"/>
    <w:rsid w:val="001F2DD7"/>
    <w:rsid w:val="001F34ED"/>
    <w:rsid w:val="001F3586"/>
    <w:rsid w:val="001F3925"/>
    <w:rsid w:val="001F39A3"/>
    <w:rsid w:val="001F3FC1"/>
    <w:rsid w:val="001F46CA"/>
    <w:rsid w:val="001F47E6"/>
    <w:rsid w:val="001F4FF5"/>
    <w:rsid w:val="001F5268"/>
    <w:rsid w:val="001F5431"/>
    <w:rsid w:val="001F5B57"/>
    <w:rsid w:val="001F640F"/>
    <w:rsid w:val="001F68BF"/>
    <w:rsid w:val="001F6FF5"/>
    <w:rsid w:val="001F7081"/>
    <w:rsid w:val="001F70D2"/>
    <w:rsid w:val="001F72CE"/>
    <w:rsid w:val="001F7571"/>
    <w:rsid w:val="001F78E4"/>
    <w:rsid w:val="001F7C47"/>
    <w:rsid w:val="001F7EB6"/>
    <w:rsid w:val="002002A7"/>
    <w:rsid w:val="00200CC2"/>
    <w:rsid w:val="00201CD8"/>
    <w:rsid w:val="0020266F"/>
    <w:rsid w:val="002027B0"/>
    <w:rsid w:val="00203146"/>
    <w:rsid w:val="00203576"/>
    <w:rsid w:val="002039EF"/>
    <w:rsid w:val="00203A43"/>
    <w:rsid w:val="002044BE"/>
    <w:rsid w:val="0020464D"/>
    <w:rsid w:val="00204BAE"/>
    <w:rsid w:val="00204BB5"/>
    <w:rsid w:val="00204D6A"/>
    <w:rsid w:val="002058F8"/>
    <w:rsid w:val="00206005"/>
    <w:rsid w:val="0020684A"/>
    <w:rsid w:val="00206ABC"/>
    <w:rsid w:val="00206B8A"/>
    <w:rsid w:val="00206EFB"/>
    <w:rsid w:val="002070B0"/>
    <w:rsid w:val="0020734C"/>
    <w:rsid w:val="002077A3"/>
    <w:rsid w:val="0021023D"/>
    <w:rsid w:val="002102AC"/>
    <w:rsid w:val="00210FD9"/>
    <w:rsid w:val="00211028"/>
    <w:rsid w:val="002113B6"/>
    <w:rsid w:val="002117AE"/>
    <w:rsid w:val="00212488"/>
    <w:rsid w:val="002126E6"/>
    <w:rsid w:val="002135F1"/>
    <w:rsid w:val="00213A4A"/>
    <w:rsid w:val="00213BC7"/>
    <w:rsid w:val="002140FD"/>
    <w:rsid w:val="00214422"/>
    <w:rsid w:val="00214616"/>
    <w:rsid w:val="00214667"/>
    <w:rsid w:val="00214700"/>
    <w:rsid w:val="00214A35"/>
    <w:rsid w:val="00214FA4"/>
    <w:rsid w:val="00215214"/>
    <w:rsid w:val="00216277"/>
    <w:rsid w:val="00216490"/>
    <w:rsid w:val="0021658A"/>
    <w:rsid w:val="00217B01"/>
    <w:rsid w:val="00217EF5"/>
    <w:rsid w:val="002201C8"/>
    <w:rsid w:val="002203C1"/>
    <w:rsid w:val="0022159A"/>
    <w:rsid w:val="00221E0F"/>
    <w:rsid w:val="0022201E"/>
    <w:rsid w:val="002223B3"/>
    <w:rsid w:val="002224C8"/>
    <w:rsid w:val="00222FA1"/>
    <w:rsid w:val="00222FDF"/>
    <w:rsid w:val="00223344"/>
    <w:rsid w:val="00223B43"/>
    <w:rsid w:val="0022417A"/>
    <w:rsid w:val="0022462A"/>
    <w:rsid w:val="002249A9"/>
    <w:rsid w:val="0022507A"/>
    <w:rsid w:val="00225116"/>
    <w:rsid w:val="0022581A"/>
    <w:rsid w:val="002258A4"/>
    <w:rsid w:val="00225FB6"/>
    <w:rsid w:val="0022607A"/>
    <w:rsid w:val="00226398"/>
    <w:rsid w:val="00226A9E"/>
    <w:rsid w:val="0022716E"/>
    <w:rsid w:val="0022723E"/>
    <w:rsid w:val="002273AA"/>
    <w:rsid w:val="0022746F"/>
    <w:rsid w:val="00227802"/>
    <w:rsid w:val="0022788A"/>
    <w:rsid w:val="00227AB1"/>
    <w:rsid w:val="00227E6E"/>
    <w:rsid w:val="002301C6"/>
    <w:rsid w:val="00230522"/>
    <w:rsid w:val="00230950"/>
    <w:rsid w:val="00230A15"/>
    <w:rsid w:val="00230D3A"/>
    <w:rsid w:val="00230D7A"/>
    <w:rsid w:val="00231266"/>
    <w:rsid w:val="00231380"/>
    <w:rsid w:val="00231DC4"/>
    <w:rsid w:val="002320AB"/>
    <w:rsid w:val="00232433"/>
    <w:rsid w:val="00232BB0"/>
    <w:rsid w:val="00233DBD"/>
    <w:rsid w:val="00233FC5"/>
    <w:rsid w:val="00234177"/>
    <w:rsid w:val="002348F6"/>
    <w:rsid w:val="00234C43"/>
    <w:rsid w:val="00235024"/>
    <w:rsid w:val="00235181"/>
    <w:rsid w:val="00235AC3"/>
    <w:rsid w:val="00236384"/>
    <w:rsid w:val="00236511"/>
    <w:rsid w:val="00236582"/>
    <w:rsid w:val="00236A7C"/>
    <w:rsid w:val="00236D46"/>
    <w:rsid w:val="00236E3D"/>
    <w:rsid w:val="00236F35"/>
    <w:rsid w:val="002371C6"/>
    <w:rsid w:val="00237F5F"/>
    <w:rsid w:val="002400A7"/>
    <w:rsid w:val="002401C2"/>
    <w:rsid w:val="00240242"/>
    <w:rsid w:val="00240834"/>
    <w:rsid w:val="002408C6"/>
    <w:rsid w:val="00240FCB"/>
    <w:rsid w:val="00241517"/>
    <w:rsid w:val="00241EB0"/>
    <w:rsid w:val="00242E48"/>
    <w:rsid w:val="002437CD"/>
    <w:rsid w:val="00243CCC"/>
    <w:rsid w:val="0024406C"/>
    <w:rsid w:val="00244886"/>
    <w:rsid w:val="00245082"/>
    <w:rsid w:val="0024559F"/>
    <w:rsid w:val="00245994"/>
    <w:rsid w:val="00245F4F"/>
    <w:rsid w:val="00246138"/>
    <w:rsid w:val="00246156"/>
    <w:rsid w:val="0024657F"/>
    <w:rsid w:val="002468B3"/>
    <w:rsid w:val="002469A3"/>
    <w:rsid w:val="00246DE7"/>
    <w:rsid w:val="00247640"/>
    <w:rsid w:val="00247742"/>
    <w:rsid w:val="002479F5"/>
    <w:rsid w:val="00247F81"/>
    <w:rsid w:val="0025005A"/>
    <w:rsid w:val="00250091"/>
    <w:rsid w:val="0025064F"/>
    <w:rsid w:val="00250722"/>
    <w:rsid w:val="002513F6"/>
    <w:rsid w:val="002514DA"/>
    <w:rsid w:val="002515AF"/>
    <w:rsid w:val="00251672"/>
    <w:rsid w:val="00251A8F"/>
    <w:rsid w:val="00251ED4"/>
    <w:rsid w:val="00251EE9"/>
    <w:rsid w:val="002527A3"/>
    <w:rsid w:val="00252F99"/>
    <w:rsid w:val="002534CF"/>
    <w:rsid w:val="002536FB"/>
    <w:rsid w:val="0025375B"/>
    <w:rsid w:val="00253B58"/>
    <w:rsid w:val="00254305"/>
    <w:rsid w:val="002549E7"/>
    <w:rsid w:val="00254B41"/>
    <w:rsid w:val="00254E92"/>
    <w:rsid w:val="002551EE"/>
    <w:rsid w:val="002559B9"/>
    <w:rsid w:val="00255B47"/>
    <w:rsid w:val="00255BD6"/>
    <w:rsid w:val="002562A9"/>
    <w:rsid w:val="00256559"/>
    <w:rsid w:val="00256FD6"/>
    <w:rsid w:val="0025717E"/>
    <w:rsid w:val="0025746E"/>
    <w:rsid w:val="00257541"/>
    <w:rsid w:val="00257623"/>
    <w:rsid w:val="0026002E"/>
    <w:rsid w:val="002601FB"/>
    <w:rsid w:val="00260278"/>
    <w:rsid w:val="002607D9"/>
    <w:rsid w:val="00260D4A"/>
    <w:rsid w:val="00261A42"/>
    <w:rsid w:val="00261ECD"/>
    <w:rsid w:val="0026203D"/>
    <w:rsid w:val="002621B8"/>
    <w:rsid w:val="00262582"/>
    <w:rsid w:val="00262A80"/>
    <w:rsid w:val="002634F4"/>
    <w:rsid w:val="00263D33"/>
    <w:rsid w:val="00263F46"/>
    <w:rsid w:val="00264126"/>
    <w:rsid w:val="00264274"/>
    <w:rsid w:val="002642D4"/>
    <w:rsid w:val="002646BF"/>
    <w:rsid w:val="00264C3C"/>
    <w:rsid w:val="00265020"/>
    <w:rsid w:val="0026502B"/>
    <w:rsid w:val="00265785"/>
    <w:rsid w:val="0026588E"/>
    <w:rsid w:val="002658E8"/>
    <w:rsid w:val="00265A73"/>
    <w:rsid w:val="00265EAC"/>
    <w:rsid w:val="00265EB4"/>
    <w:rsid w:val="00266606"/>
    <w:rsid w:val="00266E54"/>
    <w:rsid w:val="00267920"/>
    <w:rsid w:val="00267A77"/>
    <w:rsid w:val="00267F77"/>
    <w:rsid w:val="002708BC"/>
    <w:rsid w:val="00270D4B"/>
    <w:rsid w:val="002713A9"/>
    <w:rsid w:val="002714B7"/>
    <w:rsid w:val="00271CB6"/>
    <w:rsid w:val="00271F38"/>
    <w:rsid w:val="00271F60"/>
    <w:rsid w:val="00272CC8"/>
    <w:rsid w:val="00272D95"/>
    <w:rsid w:val="00272F8A"/>
    <w:rsid w:val="0027349B"/>
    <w:rsid w:val="00273CC7"/>
    <w:rsid w:val="0027400C"/>
    <w:rsid w:val="002744C2"/>
    <w:rsid w:val="00274788"/>
    <w:rsid w:val="002749A6"/>
    <w:rsid w:val="00274A8B"/>
    <w:rsid w:val="00274FB2"/>
    <w:rsid w:val="00275A3C"/>
    <w:rsid w:val="00275B12"/>
    <w:rsid w:val="00275E5B"/>
    <w:rsid w:val="00275FC4"/>
    <w:rsid w:val="002767B7"/>
    <w:rsid w:val="00277010"/>
    <w:rsid w:val="00277BCC"/>
    <w:rsid w:val="0028019A"/>
    <w:rsid w:val="00280A6D"/>
    <w:rsid w:val="0028147B"/>
    <w:rsid w:val="0028157D"/>
    <w:rsid w:val="00281729"/>
    <w:rsid w:val="00281791"/>
    <w:rsid w:val="0028199D"/>
    <w:rsid w:val="00281D81"/>
    <w:rsid w:val="00281EAD"/>
    <w:rsid w:val="002820E8"/>
    <w:rsid w:val="00282351"/>
    <w:rsid w:val="0028310B"/>
    <w:rsid w:val="00283549"/>
    <w:rsid w:val="00283553"/>
    <w:rsid w:val="002835F7"/>
    <w:rsid w:val="0028377D"/>
    <w:rsid w:val="0028383B"/>
    <w:rsid w:val="00283A33"/>
    <w:rsid w:val="00283DD3"/>
    <w:rsid w:val="00284688"/>
    <w:rsid w:val="00284710"/>
    <w:rsid w:val="00284845"/>
    <w:rsid w:val="00284A0C"/>
    <w:rsid w:val="00285530"/>
    <w:rsid w:val="0028583A"/>
    <w:rsid w:val="00285AE5"/>
    <w:rsid w:val="00285C20"/>
    <w:rsid w:val="00286058"/>
    <w:rsid w:val="00286893"/>
    <w:rsid w:val="00286A52"/>
    <w:rsid w:val="00286DD2"/>
    <w:rsid w:val="00287052"/>
    <w:rsid w:val="0028720B"/>
    <w:rsid w:val="002873D8"/>
    <w:rsid w:val="002875F8"/>
    <w:rsid w:val="0029047A"/>
    <w:rsid w:val="00290CC7"/>
    <w:rsid w:val="00291037"/>
    <w:rsid w:val="00291242"/>
    <w:rsid w:val="00291260"/>
    <w:rsid w:val="00291FDC"/>
    <w:rsid w:val="002921F5"/>
    <w:rsid w:val="0029228C"/>
    <w:rsid w:val="002935E1"/>
    <w:rsid w:val="00293724"/>
    <w:rsid w:val="00293D10"/>
    <w:rsid w:val="00293DC5"/>
    <w:rsid w:val="00294147"/>
    <w:rsid w:val="00294254"/>
    <w:rsid w:val="002944E5"/>
    <w:rsid w:val="00294B58"/>
    <w:rsid w:val="00295B15"/>
    <w:rsid w:val="0029642E"/>
    <w:rsid w:val="002967B4"/>
    <w:rsid w:val="002969A8"/>
    <w:rsid w:val="00296A73"/>
    <w:rsid w:val="002A01BB"/>
    <w:rsid w:val="002A0470"/>
    <w:rsid w:val="002A0728"/>
    <w:rsid w:val="002A076C"/>
    <w:rsid w:val="002A0EC4"/>
    <w:rsid w:val="002A10ED"/>
    <w:rsid w:val="002A1218"/>
    <w:rsid w:val="002A1330"/>
    <w:rsid w:val="002A1494"/>
    <w:rsid w:val="002A1AAF"/>
    <w:rsid w:val="002A1AC4"/>
    <w:rsid w:val="002A1EDA"/>
    <w:rsid w:val="002A1FF8"/>
    <w:rsid w:val="002A2C32"/>
    <w:rsid w:val="002A2E10"/>
    <w:rsid w:val="002A3463"/>
    <w:rsid w:val="002A3597"/>
    <w:rsid w:val="002A363A"/>
    <w:rsid w:val="002A3842"/>
    <w:rsid w:val="002A3EEF"/>
    <w:rsid w:val="002A4344"/>
    <w:rsid w:val="002A4375"/>
    <w:rsid w:val="002A4A16"/>
    <w:rsid w:val="002A5391"/>
    <w:rsid w:val="002A7382"/>
    <w:rsid w:val="002B01C0"/>
    <w:rsid w:val="002B03BE"/>
    <w:rsid w:val="002B08D0"/>
    <w:rsid w:val="002B0F54"/>
    <w:rsid w:val="002B1393"/>
    <w:rsid w:val="002B1D62"/>
    <w:rsid w:val="002B2581"/>
    <w:rsid w:val="002B2947"/>
    <w:rsid w:val="002B2A7A"/>
    <w:rsid w:val="002B2C0F"/>
    <w:rsid w:val="002B39BD"/>
    <w:rsid w:val="002B4778"/>
    <w:rsid w:val="002B4965"/>
    <w:rsid w:val="002B4DDE"/>
    <w:rsid w:val="002B5075"/>
    <w:rsid w:val="002B5196"/>
    <w:rsid w:val="002B584F"/>
    <w:rsid w:val="002B5B1E"/>
    <w:rsid w:val="002B6430"/>
    <w:rsid w:val="002B66D2"/>
    <w:rsid w:val="002B68C5"/>
    <w:rsid w:val="002B6C83"/>
    <w:rsid w:val="002B6CD7"/>
    <w:rsid w:val="002B7426"/>
    <w:rsid w:val="002B775A"/>
    <w:rsid w:val="002B77EA"/>
    <w:rsid w:val="002B7975"/>
    <w:rsid w:val="002B79CF"/>
    <w:rsid w:val="002B7F1B"/>
    <w:rsid w:val="002C00B0"/>
    <w:rsid w:val="002C076B"/>
    <w:rsid w:val="002C0CE9"/>
    <w:rsid w:val="002C136D"/>
    <w:rsid w:val="002C1E10"/>
    <w:rsid w:val="002C2424"/>
    <w:rsid w:val="002C29DA"/>
    <w:rsid w:val="002C2EA6"/>
    <w:rsid w:val="002C3458"/>
    <w:rsid w:val="002C3842"/>
    <w:rsid w:val="002C4D80"/>
    <w:rsid w:val="002C4F0E"/>
    <w:rsid w:val="002C52AF"/>
    <w:rsid w:val="002C5636"/>
    <w:rsid w:val="002C5EAC"/>
    <w:rsid w:val="002C60FC"/>
    <w:rsid w:val="002C636D"/>
    <w:rsid w:val="002C6796"/>
    <w:rsid w:val="002C6E73"/>
    <w:rsid w:val="002C6F88"/>
    <w:rsid w:val="002C701C"/>
    <w:rsid w:val="002C734D"/>
    <w:rsid w:val="002C7830"/>
    <w:rsid w:val="002C78B3"/>
    <w:rsid w:val="002D004C"/>
    <w:rsid w:val="002D09EC"/>
    <w:rsid w:val="002D0D40"/>
    <w:rsid w:val="002D1329"/>
    <w:rsid w:val="002D1795"/>
    <w:rsid w:val="002D227B"/>
    <w:rsid w:val="002D2588"/>
    <w:rsid w:val="002D26EB"/>
    <w:rsid w:val="002D2B7D"/>
    <w:rsid w:val="002D2E0E"/>
    <w:rsid w:val="002D2F41"/>
    <w:rsid w:val="002D3E8E"/>
    <w:rsid w:val="002D4377"/>
    <w:rsid w:val="002D4CA0"/>
    <w:rsid w:val="002D4D9F"/>
    <w:rsid w:val="002D4E5B"/>
    <w:rsid w:val="002D5213"/>
    <w:rsid w:val="002D5C76"/>
    <w:rsid w:val="002D5D3B"/>
    <w:rsid w:val="002D6087"/>
    <w:rsid w:val="002D60AB"/>
    <w:rsid w:val="002D626B"/>
    <w:rsid w:val="002D67C7"/>
    <w:rsid w:val="002D698B"/>
    <w:rsid w:val="002D6D6F"/>
    <w:rsid w:val="002D75A5"/>
    <w:rsid w:val="002D76CE"/>
    <w:rsid w:val="002D7898"/>
    <w:rsid w:val="002D7B8F"/>
    <w:rsid w:val="002D7E08"/>
    <w:rsid w:val="002E07E7"/>
    <w:rsid w:val="002E08A2"/>
    <w:rsid w:val="002E0A37"/>
    <w:rsid w:val="002E0AC1"/>
    <w:rsid w:val="002E0DAF"/>
    <w:rsid w:val="002E16EB"/>
    <w:rsid w:val="002E16EC"/>
    <w:rsid w:val="002E1BE0"/>
    <w:rsid w:val="002E1E69"/>
    <w:rsid w:val="002E2861"/>
    <w:rsid w:val="002E2B43"/>
    <w:rsid w:val="002E339A"/>
    <w:rsid w:val="002E34A0"/>
    <w:rsid w:val="002E4096"/>
    <w:rsid w:val="002E4E9F"/>
    <w:rsid w:val="002E4FBF"/>
    <w:rsid w:val="002E5624"/>
    <w:rsid w:val="002E5AD3"/>
    <w:rsid w:val="002E6BA2"/>
    <w:rsid w:val="002E6E0E"/>
    <w:rsid w:val="002E7BAB"/>
    <w:rsid w:val="002E7F18"/>
    <w:rsid w:val="002F045E"/>
    <w:rsid w:val="002F0A99"/>
    <w:rsid w:val="002F1DDC"/>
    <w:rsid w:val="002F1F47"/>
    <w:rsid w:val="002F29EC"/>
    <w:rsid w:val="002F2DA4"/>
    <w:rsid w:val="002F2DAD"/>
    <w:rsid w:val="002F3142"/>
    <w:rsid w:val="002F3252"/>
    <w:rsid w:val="002F35A2"/>
    <w:rsid w:val="002F3B21"/>
    <w:rsid w:val="002F4491"/>
    <w:rsid w:val="002F4A1A"/>
    <w:rsid w:val="002F4A82"/>
    <w:rsid w:val="002F5541"/>
    <w:rsid w:val="002F58A1"/>
    <w:rsid w:val="002F5AFD"/>
    <w:rsid w:val="002F5F4D"/>
    <w:rsid w:val="002F5F89"/>
    <w:rsid w:val="002F6A35"/>
    <w:rsid w:val="002F7292"/>
    <w:rsid w:val="002F74DE"/>
    <w:rsid w:val="002F75E9"/>
    <w:rsid w:val="0030035B"/>
    <w:rsid w:val="0030048B"/>
    <w:rsid w:val="00301065"/>
    <w:rsid w:val="00301097"/>
    <w:rsid w:val="003011CA"/>
    <w:rsid w:val="0030124C"/>
    <w:rsid w:val="003012EF"/>
    <w:rsid w:val="003014AB"/>
    <w:rsid w:val="00301D6D"/>
    <w:rsid w:val="003022DA"/>
    <w:rsid w:val="003030D5"/>
    <w:rsid w:val="00303373"/>
    <w:rsid w:val="003040FC"/>
    <w:rsid w:val="003048BE"/>
    <w:rsid w:val="00304E59"/>
    <w:rsid w:val="0030514D"/>
    <w:rsid w:val="003051AC"/>
    <w:rsid w:val="003054D4"/>
    <w:rsid w:val="0030568A"/>
    <w:rsid w:val="003056C8"/>
    <w:rsid w:val="00305EB5"/>
    <w:rsid w:val="00306DD3"/>
    <w:rsid w:val="00307163"/>
    <w:rsid w:val="003074D1"/>
    <w:rsid w:val="003076A6"/>
    <w:rsid w:val="00307E25"/>
    <w:rsid w:val="00307EDD"/>
    <w:rsid w:val="00310309"/>
    <w:rsid w:val="0031037D"/>
    <w:rsid w:val="0031048D"/>
    <w:rsid w:val="003109C1"/>
    <w:rsid w:val="00310A02"/>
    <w:rsid w:val="003116C1"/>
    <w:rsid w:val="00311EC7"/>
    <w:rsid w:val="00311FF8"/>
    <w:rsid w:val="00312698"/>
    <w:rsid w:val="003132F1"/>
    <w:rsid w:val="003135E5"/>
    <w:rsid w:val="003136E3"/>
    <w:rsid w:val="00313D72"/>
    <w:rsid w:val="003141B4"/>
    <w:rsid w:val="003144E8"/>
    <w:rsid w:val="0031493C"/>
    <w:rsid w:val="00314F26"/>
    <w:rsid w:val="00314FC6"/>
    <w:rsid w:val="00315381"/>
    <w:rsid w:val="00315409"/>
    <w:rsid w:val="0031574D"/>
    <w:rsid w:val="003159EC"/>
    <w:rsid w:val="00315A50"/>
    <w:rsid w:val="00315BDD"/>
    <w:rsid w:val="00315C3C"/>
    <w:rsid w:val="003161EC"/>
    <w:rsid w:val="003167B0"/>
    <w:rsid w:val="00316A9E"/>
    <w:rsid w:val="00316EEA"/>
    <w:rsid w:val="003171BE"/>
    <w:rsid w:val="003173DB"/>
    <w:rsid w:val="0031767D"/>
    <w:rsid w:val="00317945"/>
    <w:rsid w:val="003179B5"/>
    <w:rsid w:val="00317A2C"/>
    <w:rsid w:val="00317DA1"/>
    <w:rsid w:val="003201CF"/>
    <w:rsid w:val="003202AF"/>
    <w:rsid w:val="00320828"/>
    <w:rsid w:val="00320C82"/>
    <w:rsid w:val="00321A28"/>
    <w:rsid w:val="00322245"/>
    <w:rsid w:val="0032314E"/>
    <w:rsid w:val="003232C9"/>
    <w:rsid w:val="00323719"/>
    <w:rsid w:val="003238B4"/>
    <w:rsid w:val="00323915"/>
    <w:rsid w:val="00323D0D"/>
    <w:rsid w:val="00324009"/>
    <w:rsid w:val="0032404F"/>
    <w:rsid w:val="003241F9"/>
    <w:rsid w:val="0032492B"/>
    <w:rsid w:val="00324E18"/>
    <w:rsid w:val="0032593B"/>
    <w:rsid w:val="00325FE6"/>
    <w:rsid w:val="00326B90"/>
    <w:rsid w:val="00326C27"/>
    <w:rsid w:val="00327284"/>
    <w:rsid w:val="003273E5"/>
    <w:rsid w:val="003276B3"/>
    <w:rsid w:val="00327864"/>
    <w:rsid w:val="0033004C"/>
    <w:rsid w:val="0033057A"/>
    <w:rsid w:val="003307A3"/>
    <w:rsid w:val="00330E63"/>
    <w:rsid w:val="00331542"/>
    <w:rsid w:val="003316D1"/>
    <w:rsid w:val="003317CD"/>
    <w:rsid w:val="00331898"/>
    <w:rsid w:val="003335AE"/>
    <w:rsid w:val="0033369C"/>
    <w:rsid w:val="003336C1"/>
    <w:rsid w:val="0033373D"/>
    <w:rsid w:val="00333CDE"/>
    <w:rsid w:val="00333E38"/>
    <w:rsid w:val="00333FE9"/>
    <w:rsid w:val="00333FF1"/>
    <w:rsid w:val="00334580"/>
    <w:rsid w:val="00334B6A"/>
    <w:rsid w:val="00334C53"/>
    <w:rsid w:val="003359F7"/>
    <w:rsid w:val="0033633B"/>
    <w:rsid w:val="003364DD"/>
    <w:rsid w:val="003368D8"/>
    <w:rsid w:val="00336ACF"/>
    <w:rsid w:val="00336D07"/>
    <w:rsid w:val="003374F4"/>
    <w:rsid w:val="00337AAA"/>
    <w:rsid w:val="00337C28"/>
    <w:rsid w:val="00337D53"/>
    <w:rsid w:val="00337EB3"/>
    <w:rsid w:val="003406B6"/>
    <w:rsid w:val="003410C2"/>
    <w:rsid w:val="0034147F"/>
    <w:rsid w:val="00341A04"/>
    <w:rsid w:val="00341B03"/>
    <w:rsid w:val="00341C64"/>
    <w:rsid w:val="00341D19"/>
    <w:rsid w:val="00342143"/>
    <w:rsid w:val="0034266A"/>
    <w:rsid w:val="00343294"/>
    <w:rsid w:val="0034371F"/>
    <w:rsid w:val="00343A79"/>
    <w:rsid w:val="00344867"/>
    <w:rsid w:val="00344F7B"/>
    <w:rsid w:val="003450F0"/>
    <w:rsid w:val="0034583E"/>
    <w:rsid w:val="00345CBE"/>
    <w:rsid w:val="0034624A"/>
    <w:rsid w:val="00346B84"/>
    <w:rsid w:val="00346F81"/>
    <w:rsid w:val="00347047"/>
    <w:rsid w:val="003472F9"/>
    <w:rsid w:val="003473D4"/>
    <w:rsid w:val="003474D9"/>
    <w:rsid w:val="00347516"/>
    <w:rsid w:val="00347915"/>
    <w:rsid w:val="00347E14"/>
    <w:rsid w:val="003502F9"/>
    <w:rsid w:val="0035048F"/>
    <w:rsid w:val="00351842"/>
    <w:rsid w:val="00351DA0"/>
    <w:rsid w:val="00352139"/>
    <w:rsid w:val="003522A3"/>
    <w:rsid w:val="00352395"/>
    <w:rsid w:val="003524C1"/>
    <w:rsid w:val="00352622"/>
    <w:rsid w:val="00352FCC"/>
    <w:rsid w:val="003533DB"/>
    <w:rsid w:val="003535A0"/>
    <w:rsid w:val="003538D8"/>
    <w:rsid w:val="00353A32"/>
    <w:rsid w:val="00353C55"/>
    <w:rsid w:val="00353D78"/>
    <w:rsid w:val="00353DC8"/>
    <w:rsid w:val="00354E01"/>
    <w:rsid w:val="00355410"/>
    <w:rsid w:val="00355927"/>
    <w:rsid w:val="003565EF"/>
    <w:rsid w:val="003568D5"/>
    <w:rsid w:val="00356B84"/>
    <w:rsid w:val="00356BA7"/>
    <w:rsid w:val="003570D3"/>
    <w:rsid w:val="00357F75"/>
    <w:rsid w:val="00360301"/>
    <w:rsid w:val="003606F1"/>
    <w:rsid w:val="003611A7"/>
    <w:rsid w:val="003613A5"/>
    <w:rsid w:val="00361B2B"/>
    <w:rsid w:val="00362361"/>
    <w:rsid w:val="00362A5B"/>
    <w:rsid w:val="00362E01"/>
    <w:rsid w:val="00363342"/>
    <w:rsid w:val="0036362F"/>
    <w:rsid w:val="0036369B"/>
    <w:rsid w:val="003637FE"/>
    <w:rsid w:val="00364106"/>
    <w:rsid w:val="003658F4"/>
    <w:rsid w:val="00366224"/>
    <w:rsid w:val="00366A57"/>
    <w:rsid w:val="00366C1F"/>
    <w:rsid w:val="00366C48"/>
    <w:rsid w:val="00366DF1"/>
    <w:rsid w:val="00366E1E"/>
    <w:rsid w:val="00367104"/>
    <w:rsid w:val="003673B7"/>
    <w:rsid w:val="0037017A"/>
    <w:rsid w:val="0037043B"/>
    <w:rsid w:val="00370D71"/>
    <w:rsid w:val="00371872"/>
    <w:rsid w:val="00371B81"/>
    <w:rsid w:val="003720E8"/>
    <w:rsid w:val="00372507"/>
    <w:rsid w:val="0037263B"/>
    <w:rsid w:val="003726A1"/>
    <w:rsid w:val="00372DB6"/>
    <w:rsid w:val="0037318C"/>
    <w:rsid w:val="003738A9"/>
    <w:rsid w:val="003739D2"/>
    <w:rsid w:val="00373A52"/>
    <w:rsid w:val="003749FB"/>
    <w:rsid w:val="00374CBD"/>
    <w:rsid w:val="00375608"/>
    <w:rsid w:val="00375655"/>
    <w:rsid w:val="00375995"/>
    <w:rsid w:val="003767E4"/>
    <w:rsid w:val="00376C59"/>
    <w:rsid w:val="003770EB"/>
    <w:rsid w:val="0037721C"/>
    <w:rsid w:val="0037753B"/>
    <w:rsid w:val="00380129"/>
    <w:rsid w:val="003802D0"/>
    <w:rsid w:val="00380850"/>
    <w:rsid w:val="00380DAF"/>
    <w:rsid w:val="00381012"/>
    <w:rsid w:val="003812BC"/>
    <w:rsid w:val="003812D9"/>
    <w:rsid w:val="00381A31"/>
    <w:rsid w:val="00381B81"/>
    <w:rsid w:val="00382B43"/>
    <w:rsid w:val="00382D41"/>
    <w:rsid w:val="00384108"/>
    <w:rsid w:val="0038412C"/>
    <w:rsid w:val="00384963"/>
    <w:rsid w:val="003849FE"/>
    <w:rsid w:val="00384A8C"/>
    <w:rsid w:val="00384BA8"/>
    <w:rsid w:val="00384F6F"/>
    <w:rsid w:val="00385120"/>
    <w:rsid w:val="00385349"/>
    <w:rsid w:val="003854C0"/>
    <w:rsid w:val="00385BB2"/>
    <w:rsid w:val="00385CBB"/>
    <w:rsid w:val="00385D0B"/>
    <w:rsid w:val="003861B0"/>
    <w:rsid w:val="003864D1"/>
    <w:rsid w:val="00386B45"/>
    <w:rsid w:val="00387463"/>
    <w:rsid w:val="0038751A"/>
    <w:rsid w:val="00387DED"/>
    <w:rsid w:val="0039071D"/>
    <w:rsid w:val="00390974"/>
    <w:rsid w:val="00390ECE"/>
    <w:rsid w:val="00391314"/>
    <w:rsid w:val="00391433"/>
    <w:rsid w:val="00391C0D"/>
    <w:rsid w:val="00391D4C"/>
    <w:rsid w:val="00391F23"/>
    <w:rsid w:val="00391F83"/>
    <w:rsid w:val="00391FC9"/>
    <w:rsid w:val="0039204C"/>
    <w:rsid w:val="003924B1"/>
    <w:rsid w:val="00392702"/>
    <w:rsid w:val="00392894"/>
    <w:rsid w:val="0039297C"/>
    <w:rsid w:val="0039298A"/>
    <w:rsid w:val="00392CF4"/>
    <w:rsid w:val="00393468"/>
    <w:rsid w:val="00393D51"/>
    <w:rsid w:val="00393FF9"/>
    <w:rsid w:val="00394F32"/>
    <w:rsid w:val="00395548"/>
    <w:rsid w:val="00395D1D"/>
    <w:rsid w:val="00397239"/>
    <w:rsid w:val="00397823"/>
    <w:rsid w:val="00397930"/>
    <w:rsid w:val="00397952"/>
    <w:rsid w:val="00397F76"/>
    <w:rsid w:val="003A060E"/>
    <w:rsid w:val="003A0857"/>
    <w:rsid w:val="003A187B"/>
    <w:rsid w:val="003A22B8"/>
    <w:rsid w:val="003A28FE"/>
    <w:rsid w:val="003A2A35"/>
    <w:rsid w:val="003A3128"/>
    <w:rsid w:val="003A3556"/>
    <w:rsid w:val="003A3592"/>
    <w:rsid w:val="003A3617"/>
    <w:rsid w:val="003A46E5"/>
    <w:rsid w:val="003A4FF9"/>
    <w:rsid w:val="003A5029"/>
    <w:rsid w:val="003A53D1"/>
    <w:rsid w:val="003A543B"/>
    <w:rsid w:val="003A5AFE"/>
    <w:rsid w:val="003A60B2"/>
    <w:rsid w:val="003A6516"/>
    <w:rsid w:val="003A65C1"/>
    <w:rsid w:val="003A6897"/>
    <w:rsid w:val="003A6FA3"/>
    <w:rsid w:val="003A6FBE"/>
    <w:rsid w:val="003A71DF"/>
    <w:rsid w:val="003A726C"/>
    <w:rsid w:val="003A7321"/>
    <w:rsid w:val="003A748B"/>
    <w:rsid w:val="003A7CFC"/>
    <w:rsid w:val="003B0182"/>
    <w:rsid w:val="003B03BB"/>
    <w:rsid w:val="003B053F"/>
    <w:rsid w:val="003B0954"/>
    <w:rsid w:val="003B0BE3"/>
    <w:rsid w:val="003B1907"/>
    <w:rsid w:val="003B1E2C"/>
    <w:rsid w:val="003B210F"/>
    <w:rsid w:val="003B23F0"/>
    <w:rsid w:val="003B2A43"/>
    <w:rsid w:val="003B2ED4"/>
    <w:rsid w:val="003B2F64"/>
    <w:rsid w:val="003B305C"/>
    <w:rsid w:val="003B3448"/>
    <w:rsid w:val="003B3A33"/>
    <w:rsid w:val="003B3A3F"/>
    <w:rsid w:val="003B3E09"/>
    <w:rsid w:val="003B40A3"/>
    <w:rsid w:val="003B4A9B"/>
    <w:rsid w:val="003B5175"/>
    <w:rsid w:val="003B54AA"/>
    <w:rsid w:val="003B56A2"/>
    <w:rsid w:val="003B59E4"/>
    <w:rsid w:val="003B5E50"/>
    <w:rsid w:val="003B62A1"/>
    <w:rsid w:val="003B715B"/>
    <w:rsid w:val="003B7231"/>
    <w:rsid w:val="003B7DCE"/>
    <w:rsid w:val="003C02A9"/>
    <w:rsid w:val="003C0D6B"/>
    <w:rsid w:val="003C13BF"/>
    <w:rsid w:val="003C1832"/>
    <w:rsid w:val="003C18C1"/>
    <w:rsid w:val="003C19B0"/>
    <w:rsid w:val="003C1E50"/>
    <w:rsid w:val="003C20FA"/>
    <w:rsid w:val="003C364F"/>
    <w:rsid w:val="003C38D2"/>
    <w:rsid w:val="003C3B36"/>
    <w:rsid w:val="003C3B79"/>
    <w:rsid w:val="003C3FA9"/>
    <w:rsid w:val="003C44D0"/>
    <w:rsid w:val="003C468B"/>
    <w:rsid w:val="003C5396"/>
    <w:rsid w:val="003C5625"/>
    <w:rsid w:val="003C56AA"/>
    <w:rsid w:val="003C57CC"/>
    <w:rsid w:val="003C5AA8"/>
    <w:rsid w:val="003C6821"/>
    <w:rsid w:val="003C706D"/>
    <w:rsid w:val="003C75FA"/>
    <w:rsid w:val="003C765C"/>
    <w:rsid w:val="003C7C4E"/>
    <w:rsid w:val="003D0A05"/>
    <w:rsid w:val="003D0F3E"/>
    <w:rsid w:val="003D1260"/>
    <w:rsid w:val="003D17FF"/>
    <w:rsid w:val="003D18A9"/>
    <w:rsid w:val="003D1CEE"/>
    <w:rsid w:val="003D1D9B"/>
    <w:rsid w:val="003D2097"/>
    <w:rsid w:val="003D2200"/>
    <w:rsid w:val="003D2612"/>
    <w:rsid w:val="003D2F31"/>
    <w:rsid w:val="003D2F39"/>
    <w:rsid w:val="003D3205"/>
    <w:rsid w:val="003D38F6"/>
    <w:rsid w:val="003D3A5D"/>
    <w:rsid w:val="003D462E"/>
    <w:rsid w:val="003D46DD"/>
    <w:rsid w:val="003D4A8A"/>
    <w:rsid w:val="003D4C60"/>
    <w:rsid w:val="003D4D1E"/>
    <w:rsid w:val="003D5226"/>
    <w:rsid w:val="003D52CE"/>
    <w:rsid w:val="003D5429"/>
    <w:rsid w:val="003D5CA5"/>
    <w:rsid w:val="003D5F5E"/>
    <w:rsid w:val="003D5FC5"/>
    <w:rsid w:val="003D6610"/>
    <w:rsid w:val="003D676E"/>
    <w:rsid w:val="003D689A"/>
    <w:rsid w:val="003D6AA2"/>
    <w:rsid w:val="003D6D5D"/>
    <w:rsid w:val="003D6E77"/>
    <w:rsid w:val="003D7402"/>
    <w:rsid w:val="003D751B"/>
    <w:rsid w:val="003D77E8"/>
    <w:rsid w:val="003E0107"/>
    <w:rsid w:val="003E01C1"/>
    <w:rsid w:val="003E0312"/>
    <w:rsid w:val="003E0522"/>
    <w:rsid w:val="003E0685"/>
    <w:rsid w:val="003E0758"/>
    <w:rsid w:val="003E08BE"/>
    <w:rsid w:val="003E0A78"/>
    <w:rsid w:val="003E137C"/>
    <w:rsid w:val="003E15E1"/>
    <w:rsid w:val="003E1685"/>
    <w:rsid w:val="003E199D"/>
    <w:rsid w:val="003E1B17"/>
    <w:rsid w:val="003E27F6"/>
    <w:rsid w:val="003E2C8E"/>
    <w:rsid w:val="003E3D71"/>
    <w:rsid w:val="003E3ECF"/>
    <w:rsid w:val="003E3F40"/>
    <w:rsid w:val="003E42F0"/>
    <w:rsid w:val="003E4323"/>
    <w:rsid w:val="003E4B86"/>
    <w:rsid w:val="003E5262"/>
    <w:rsid w:val="003E5277"/>
    <w:rsid w:val="003E5611"/>
    <w:rsid w:val="003E5A76"/>
    <w:rsid w:val="003E5C87"/>
    <w:rsid w:val="003E5E05"/>
    <w:rsid w:val="003E5F48"/>
    <w:rsid w:val="003E659B"/>
    <w:rsid w:val="003E6A7E"/>
    <w:rsid w:val="003E6DEE"/>
    <w:rsid w:val="003E7321"/>
    <w:rsid w:val="003E786E"/>
    <w:rsid w:val="003E7894"/>
    <w:rsid w:val="003F0538"/>
    <w:rsid w:val="003F06E6"/>
    <w:rsid w:val="003F074F"/>
    <w:rsid w:val="003F0C2D"/>
    <w:rsid w:val="003F0CEB"/>
    <w:rsid w:val="003F0D96"/>
    <w:rsid w:val="003F0EBA"/>
    <w:rsid w:val="003F0F72"/>
    <w:rsid w:val="003F10B3"/>
    <w:rsid w:val="003F12F2"/>
    <w:rsid w:val="003F17A1"/>
    <w:rsid w:val="003F2033"/>
    <w:rsid w:val="003F2224"/>
    <w:rsid w:val="003F2695"/>
    <w:rsid w:val="003F29C5"/>
    <w:rsid w:val="003F2C0F"/>
    <w:rsid w:val="003F2C41"/>
    <w:rsid w:val="003F2C8D"/>
    <w:rsid w:val="003F2E44"/>
    <w:rsid w:val="003F3CA4"/>
    <w:rsid w:val="003F412E"/>
    <w:rsid w:val="003F426E"/>
    <w:rsid w:val="003F469A"/>
    <w:rsid w:val="003F49F1"/>
    <w:rsid w:val="003F5857"/>
    <w:rsid w:val="003F656A"/>
    <w:rsid w:val="003F6A8A"/>
    <w:rsid w:val="003F6AF1"/>
    <w:rsid w:val="003F6D2E"/>
    <w:rsid w:val="003F7268"/>
    <w:rsid w:val="004001F6"/>
    <w:rsid w:val="0040095C"/>
    <w:rsid w:val="00400D4D"/>
    <w:rsid w:val="00400EF0"/>
    <w:rsid w:val="0040128E"/>
    <w:rsid w:val="0040171F"/>
    <w:rsid w:val="00401C1A"/>
    <w:rsid w:val="00401D03"/>
    <w:rsid w:val="00401F9A"/>
    <w:rsid w:val="004020FE"/>
    <w:rsid w:val="00402B02"/>
    <w:rsid w:val="00402DCE"/>
    <w:rsid w:val="00402EA6"/>
    <w:rsid w:val="004031C8"/>
    <w:rsid w:val="00403509"/>
    <w:rsid w:val="004037DC"/>
    <w:rsid w:val="0040419D"/>
    <w:rsid w:val="00404A57"/>
    <w:rsid w:val="00404C21"/>
    <w:rsid w:val="00404C45"/>
    <w:rsid w:val="00404D63"/>
    <w:rsid w:val="00404ED5"/>
    <w:rsid w:val="00405091"/>
    <w:rsid w:val="00405292"/>
    <w:rsid w:val="0040548B"/>
    <w:rsid w:val="00405E14"/>
    <w:rsid w:val="0040605B"/>
    <w:rsid w:val="00406244"/>
    <w:rsid w:val="004063CB"/>
    <w:rsid w:val="004063FF"/>
    <w:rsid w:val="0040664A"/>
    <w:rsid w:val="0040752F"/>
    <w:rsid w:val="004076E8"/>
    <w:rsid w:val="00407BCD"/>
    <w:rsid w:val="00407E25"/>
    <w:rsid w:val="00407FF5"/>
    <w:rsid w:val="00410ABC"/>
    <w:rsid w:val="00410B9D"/>
    <w:rsid w:val="00411342"/>
    <w:rsid w:val="00411C73"/>
    <w:rsid w:val="00411FB2"/>
    <w:rsid w:val="0041213E"/>
    <w:rsid w:val="00412607"/>
    <w:rsid w:val="004127A7"/>
    <w:rsid w:val="00412AA7"/>
    <w:rsid w:val="0041327F"/>
    <w:rsid w:val="004133EB"/>
    <w:rsid w:val="00413627"/>
    <w:rsid w:val="00414022"/>
    <w:rsid w:val="00414277"/>
    <w:rsid w:val="00414452"/>
    <w:rsid w:val="00414ACA"/>
    <w:rsid w:val="00414D42"/>
    <w:rsid w:val="00414EC1"/>
    <w:rsid w:val="00414F65"/>
    <w:rsid w:val="00414F92"/>
    <w:rsid w:val="004150B6"/>
    <w:rsid w:val="004151A2"/>
    <w:rsid w:val="00415680"/>
    <w:rsid w:val="004159E3"/>
    <w:rsid w:val="00415C3E"/>
    <w:rsid w:val="00415F4B"/>
    <w:rsid w:val="00415FAF"/>
    <w:rsid w:val="00416575"/>
    <w:rsid w:val="0041690D"/>
    <w:rsid w:val="00416B60"/>
    <w:rsid w:val="00417732"/>
    <w:rsid w:val="004209F1"/>
    <w:rsid w:val="00420A13"/>
    <w:rsid w:val="00420E86"/>
    <w:rsid w:val="00421375"/>
    <w:rsid w:val="004217D4"/>
    <w:rsid w:val="004223E7"/>
    <w:rsid w:val="00422473"/>
    <w:rsid w:val="0042252D"/>
    <w:rsid w:val="00422810"/>
    <w:rsid w:val="004235A7"/>
    <w:rsid w:val="00423DF2"/>
    <w:rsid w:val="004249CC"/>
    <w:rsid w:val="00425447"/>
    <w:rsid w:val="004255B3"/>
    <w:rsid w:val="00425675"/>
    <w:rsid w:val="004259E5"/>
    <w:rsid w:val="0042619A"/>
    <w:rsid w:val="004262FC"/>
    <w:rsid w:val="00426944"/>
    <w:rsid w:val="00426BC1"/>
    <w:rsid w:val="00427600"/>
    <w:rsid w:val="00427BBB"/>
    <w:rsid w:val="00427CE4"/>
    <w:rsid w:val="00427D3F"/>
    <w:rsid w:val="004306ED"/>
    <w:rsid w:val="004311FE"/>
    <w:rsid w:val="0043161E"/>
    <w:rsid w:val="0043164D"/>
    <w:rsid w:val="00431C74"/>
    <w:rsid w:val="004325BD"/>
    <w:rsid w:val="004338EA"/>
    <w:rsid w:val="00433CCF"/>
    <w:rsid w:val="00433E16"/>
    <w:rsid w:val="0043418F"/>
    <w:rsid w:val="004345F5"/>
    <w:rsid w:val="00434967"/>
    <w:rsid w:val="00435406"/>
    <w:rsid w:val="0043549F"/>
    <w:rsid w:val="00435A43"/>
    <w:rsid w:val="00435C04"/>
    <w:rsid w:val="004362FD"/>
    <w:rsid w:val="004367B6"/>
    <w:rsid w:val="00436843"/>
    <w:rsid w:val="004369B5"/>
    <w:rsid w:val="00436BA1"/>
    <w:rsid w:val="0043751B"/>
    <w:rsid w:val="00437700"/>
    <w:rsid w:val="004377B0"/>
    <w:rsid w:val="0043792A"/>
    <w:rsid w:val="00437D61"/>
    <w:rsid w:val="00437F24"/>
    <w:rsid w:val="0044045F"/>
    <w:rsid w:val="00440714"/>
    <w:rsid w:val="00440D50"/>
    <w:rsid w:val="0044133E"/>
    <w:rsid w:val="004413BB"/>
    <w:rsid w:val="00441568"/>
    <w:rsid w:val="00441D5B"/>
    <w:rsid w:val="004428AD"/>
    <w:rsid w:val="004447B2"/>
    <w:rsid w:val="00444850"/>
    <w:rsid w:val="00444B36"/>
    <w:rsid w:val="00444B7B"/>
    <w:rsid w:val="00444BC3"/>
    <w:rsid w:val="00444D1D"/>
    <w:rsid w:val="00444DFB"/>
    <w:rsid w:val="00445074"/>
    <w:rsid w:val="0044578B"/>
    <w:rsid w:val="004457FB"/>
    <w:rsid w:val="00445E00"/>
    <w:rsid w:val="00446431"/>
    <w:rsid w:val="004468E9"/>
    <w:rsid w:val="00446A1D"/>
    <w:rsid w:val="00446D07"/>
    <w:rsid w:val="00447055"/>
    <w:rsid w:val="0044726A"/>
    <w:rsid w:val="00447821"/>
    <w:rsid w:val="00447BAF"/>
    <w:rsid w:val="00450806"/>
    <w:rsid w:val="00450F7C"/>
    <w:rsid w:val="00451101"/>
    <w:rsid w:val="004512DF"/>
    <w:rsid w:val="00452505"/>
    <w:rsid w:val="00452DEB"/>
    <w:rsid w:val="00453294"/>
    <w:rsid w:val="00453DAA"/>
    <w:rsid w:val="00454295"/>
    <w:rsid w:val="00454391"/>
    <w:rsid w:val="004543E5"/>
    <w:rsid w:val="004544B8"/>
    <w:rsid w:val="00454554"/>
    <w:rsid w:val="0045493B"/>
    <w:rsid w:val="00454CC6"/>
    <w:rsid w:val="00454EC2"/>
    <w:rsid w:val="00454F1D"/>
    <w:rsid w:val="0045561B"/>
    <w:rsid w:val="00455BA0"/>
    <w:rsid w:val="00456020"/>
    <w:rsid w:val="004560E3"/>
    <w:rsid w:val="004562B2"/>
    <w:rsid w:val="00456708"/>
    <w:rsid w:val="00456ABB"/>
    <w:rsid w:val="004577EC"/>
    <w:rsid w:val="00461BF5"/>
    <w:rsid w:val="0046233A"/>
    <w:rsid w:val="00462393"/>
    <w:rsid w:val="00462426"/>
    <w:rsid w:val="00462CFD"/>
    <w:rsid w:val="00462F36"/>
    <w:rsid w:val="00462FD7"/>
    <w:rsid w:val="004632D2"/>
    <w:rsid w:val="00463C54"/>
    <w:rsid w:val="00464234"/>
    <w:rsid w:val="00464820"/>
    <w:rsid w:val="00464914"/>
    <w:rsid w:val="00464F81"/>
    <w:rsid w:val="0046509F"/>
    <w:rsid w:val="0046538C"/>
    <w:rsid w:val="004653B9"/>
    <w:rsid w:val="00465A12"/>
    <w:rsid w:val="00466284"/>
    <w:rsid w:val="00466481"/>
    <w:rsid w:val="004665B3"/>
    <w:rsid w:val="0046663A"/>
    <w:rsid w:val="00466746"/>
    <w:rsid w:val="00466843"/>
    <w:rsid w:val="0046689F"/>
    <w:rsid w:val="00466A64"/>
    <w:rsid w:val="0046749A"/>
    <w:rsid w:val="00467A6F"/>
    <w:rsid w:val="00470548"/>
    <w:rsid w:val="0047064A"/>
    <w:rsid w:val="00470F61"/>
    <w:rsid w:val="00471FCA"/>
    <w:rsid w:val="004724BD"/>
    <w:rsid w:val="00472EEC"/>
    <w:rsid w:val="0047305B"/>
    <w:rsid w:val="0047326E"/>
    <w:rsid w:val="004736C8"/>
    <w:rsid w:val="00473862"/>
    <w:rsid w:val="00473E22"/>
    <w:rsid w:val="00474AC8"/>
    <w:rsid w:val="00474B31"/>
    <w:rsid w:val="004751B4"/>
    <w:rsid w:val="004756E4"/>
    <w:rsid w:val="0047578C"/>
    <w:rsid w:val="00475D22"/>
    <w:rsid w:val="00475EFA"/>
    <w:rsid w:val="00476C36"/>
    <w:rsid w:val="004770E2"/>
    <w:rsid w:val="00477109"/>
    <w:rsid w:val="00477512"/>
    <w:rsid w:val="00477761"/>
    <w:rsid w:val="00477D9F"/>
    <w:rsid w:val="00477DF0"/>
    <w:rsid w:val="0048014A"/>
    <w:rsid w:val="0048069F"/>
    <w:rsid w:val="00480980"/>
    <w:rsid w:val="00480A8D"/>
    <w:rsid w:val="00480D9F"/>
    <w:rsid w:val="0048125A"/>
    <w:rsid w:val="00481418"/>
    <w:rsid w:val="00481D24"/>
    <w:rsid w:val="004820D0"/>
    <w:rsid w:val="004826AE"/>
    <w:rsid w:val="00482AC9"/>
    <w:rsid w:val="00483295"/>
    <w:rsid w:val="00483932"/>
    <w:rsid w:val="00483E5D"/>
    <w:rsid w:val="0048405C"/>
    <w:rsid w:val="00484231"/>
    <w:rsid w:val="0048445B"/>
    <w:rsid w:val="004846B4"/>
    <w:rsid w:val="00484739"/>
    <w:rsid w:val="00484816"/>
    <w:rsid w:val="00484A1C"/>
    <w:rsid w:val="00485167"/>
    <w:rsid w:val="004852C4"/>
    <w:rsid w:val="00485D86"/>
    <w:rsid w:val="0048719A"/>
    <w:rsid w:val="00487526"/>
    <w:rsid w:val="00487C50"/>
    <w:rsid w:val="00490411"/>
    <w:rsid w:val="00491FA3"/>
    <w:rsid w:val="00492C91"/>
    <w:rsid w:val="00493B63"/>
    <w:rsid w:val="00493C25"/>
    <w:rsid w:val="00493E6C"/>
    <w:rsid w:val="00494CE9"/>
    <w:rsid w:val="00494D69"/>
    <w:rsid w:val="00494EFB"/>
    <w:rsid w:val="00495784"/>
    <w:rsid w:val="0049597F"/>
    <w:rsid w:val="00495C5F"/>
    <w:rsid w:val="004960AB"/>
    <w:rsid w:val="004963D8"/>
    <w:rsid w:val="004969A6"/>
    <w:rsid w:val="00497355"/>
    <w:rsid w:val="004973E9"/>
    <w:rsid w:val="004A0072"/>
    <w:rsid w:val="004A00F9"/>
    <w:rsid w:val="004A02EE"/>
    <w:rsid w:val="004A04AA"/>
    <w:rsid w:val="004A0B13"/>
    <w:rsid w:val="004A0BDA"/>
    <w:rsid w:val="004A0CB0"/>
    <w:rsid w:val="004A0D20"/>
    <w:rsid w:val="004A0EB4"/>
    <w:rsid w:val="004A14C2"/>
    <w:rsid w:val="004A1E09"/>
    <w:rsid w:val="004A1FA1"/>
    <w:rsid w:val="004A2049"/>
    <w:rsid w:val="004A2966"/>
    <w:rsid w:val="004A346C"/>
    <w:rsid w:val="004A4B26"/>
    <w:rsid w:val="004A4E12"/>
    <w:rsid w:val="004A5370"/>
    <w:rsid w:val="004A568A"/>
    <w:rsid w:val="004A5951"/>
    <w:rsid w:val="004A5B33"/>
    <w:rsid w:val="004A5BC2"/>
    <w:rsid w:val="004A5D50"/>
    <w:rsid w:val="004A6274"/>
    <w:rsid w:val="004A64F9"/>
    <w:rsid w:val="004A65AC"/>
    <w:rsid w:val="004A687E"/>
    <w:rsid w:val="004A701C"/>
    <w:rsid w:val="004A7774"/>
    <w:rsid w:val="004A7867"/>
    <w:rsid w:val="004A7A05"/>
    <w:rsid w:val="004A7EE1"/>
    <w:rsid w:val="004A7F8E"/>
    <w:rsid w:val="004B0456"/>
    <w:rsid w:val="004B04F9"/>
    <w:rsid w:val="004B07C0"/>
    <w:rsid w:val="004B0869"/>
    <w:rsid w:val="004B10A1"/>
    <w:rsid w:val="004B216A"/>
    <w:rsid w:val="004B25E0"/>
    <w:rsid w:val="004B26ED"/>
    <w:rsid w:val="004B2BFC"/>
    <w:rsid w:val="004B2C68"/>
    <w:rsid w:val="004B2FB1"/>
    <w:rsid w:val="004B334D"/>
    <w:rsid w:val="004B366A"/>
    <w:rsid w:val="004B40F5"/>
    <w:rsid w:val="004B4332"/>
    <w:rsid w:val="004B4713"/>
    <w:rsid w:val="004B4BE0"/>
    <w:rsid w:val="004B5FBE"/>
    <w:rsid w:val="004B7538"/>
    <w:rsid w:val="004B7B07"/>
    <w:rsid w:val="004C0164"/>
    <w:rsid w:val="004C071B"/>
    <w:rsid w:val="004C099C"/>
    <w:rsid w:val="004C0AF2"/>
    <w:rsid w:val="004C0BCD"/>
    <w:rsid w:val="004C0E9D"/>
    <w:rsid w:val="004C0F70"/>
    <w:rsid w:val="004C17E2"/>
    <w:rsid w:val="004C1DF0"/>
    <w:rsid w:val="004C2421"/>
    <w:rsid w:val="004C31B4"/>
    <w:rsid w:val="004C34E6"/>
    <w:rsid w:val="004C3B4F"/>
    <w:rsid w:val="004C41FD"/>
    <w:rsid w:val="004C4293"/>
    <w:rsid w:val="004C47F4"/>
    <w:rsid w:val="004C4B71"/>
    <w:rsid w:val="004C577F"/>
    <w:rsid w:val="004C5CD0"/>
    <w:rsid w:val="004C5E03"/>
    <w:rsid w:val="004C70FE"/>
    <w:rsid w:val="004C7695"/>
    <w:rsid w:val="004C7A16"/>
    <w:rsid w:val="004C7E33"/>
    <w:rsid w:val="004C7EC4"/>
    <w:rsid w:val="004D0003"/>
    <w:rsid w:val="004D0220"/>
    <w:rsid w:val="004D0591"/>
    <w:rsid w:val="004D1033"/>
    <w:rsid w:val="004D127E"/>
    <w:rsid w:val="004D1989"/>
    <w:rsid w:val="004D19DD"/>
    <w:rsid w:val="004D1A96"/>
    <w:rsid w:val="004D211A"/>
    <w:rsid w:val="004D2319"/>
    <w:rsid w:val="004D2907"/>
    <w:rsid w:val="004D2A27"/>
    <w:rsid w:val="004D3036"/>
    <w:rsid w:val="004D332E"/>
    <w:rsid w:val="004D3DB5"/>
    <w:rsid w:val="004D4070"/>
    <w:rsid w:val="004D4300"/>
    <w:rsid w:val="004D44BE"/>
    <w:rsid w:val="004D4678"/>
    <w:rsid w:val="004D4716"/>
    <w:rsid w:val="004D4835"/>
    <w:rsid w:val="004D5298"/>
    <w:rsid w:val="004D5BDE"/>
    <w:rsid w:val="004D5C74"/>
    <w:rsid w:val="004D616A"/>
    <w:rsid w:val="004D679F"/>
    <w:rsid w:val="004D67C9"/>
    <w:rsid w:val="004D6E72"/>
    <w:rsid w:val="004D7486"/>
    <w:rsid w:val="004E0177"/>
    <w:rsid w:val="004E01CC"/>
    <w:rsid w:val="004E0A00"/>
    <w:rsid w:val="004E0B3B"/>
    <w:rsid w:val="004E0B4B"/>
    <w:rsid w:val="004E0C0B"/>
    <w:rsid w:val="004E0C5E"/>
    <w:rsid w:val="004E0CBB"/>
    <w:rsid w:val="004E117C"/>
    <w:rsid w:val="004E1A7E"/>
    <w:rsid w:val="004E1CA3"/>
    <w:rsid w:val="004E1D4C"/>
    <w:rsid w:val="004E1FD3"/>
    <w:rsid w:val="004E2348"/>
    <w:rsid w:val="004E2443"/>
    <w:rsid w:val="004E3A5C"/>
    <w:rsid w:val="004E3C4B"/>
    <w:rsid w:val="004E3CD2"/>
    <w:rsid w:val="004E415C"/>
    <w:rsid w:val="004E42B8"/>
    <w:rsid w:val="004E4438"/>
    <w:rsid w:val="004E4AF2"/>
    <w:rsid w:val="004E57D2"/>
    <w:rsid w:val="004E5DA9"/>
    <w:rsid w:val="004E6786"/>
    <w:rsid w:val="004E67ED"/>
    <w:rsid w:val="004E6BA9"/>
    <w:rsid w:val="004E6EDD"/>
    <w:rsid w:val="004E792A"/>
    <w:rsid w:val="004E79C9"/>
    <w:rsid w:val="004E7C44"/>
    <w:rsid w:val="004E7D92"/>
    <w:rsid w:val="004E7E98"/>
    <w:rsid w:val="004F0091"/>
    <w:rsid w:val="004F0BE4"/>
    <w:rsid w:val="004F0FC8"/>
    <w:rsid w:val="004F23A0"/>
    <w:rsid w:val="004F2AF3"/>
    <w:rsid w:val="004F2D59"/>
    <w:rsid w:val="004F2D71"/>
    <w:rsid w:val="004F3B4B"/>
    <w:rsid w:val="004F3C33"/>
    <w:rsid w:val="004F3CAA"/>
    <w:rsid w:val="004F3CB3"/>
    <w:rsid w:val="004F3E1F"/>
    <w:rsid w:val="004F3FA6"/>
    <w:rsid w:val="004F4401"/>
    <w:rsid w:val="004F45FC"/>
    <w:rsid w:val="004F4794"/>
    <w:rsid w:val="004F48E4"/>
    <w:rsid w:val="004F4D30"/>
    <w:rsid w:val="004F4D38"/>
    <w:rsid w:val="004F4E07"/>
    <w:rsid w:val="004F5E99"/>
    <w:rsid w:val="004F64DA"/>
    <w:rsid w:val="004F687D"/>
    <w:rsid w:val="004F68F1"/>
    <w:rsid w:val="004F6CDA"/>
    <w:rsid w:val="004F6CEB"/>
    <w:rsid w:val="004F6FD0"/>
    <w:rsid w:val="0050018A"/>
    <w:rsid w:val="005002AA"/>
    <w:rsid w:val="0050059B"/>
    <w:rsid w:val="00501148"/>
    <w:rsid w:val="00501D44"/>
    <w:rsid w:val="005020E9"/>
    <w:rsid w:val="0050219A"/>
    <w:rsid w:val="00502793"/>
    <w:rsid w:val="005036AD"/>
    <w:rsid w:val="00503BAB"/>
    <w:rsid w:val="00503DB5"/>
    <w:rsid w:val="0050488A"/>
    <w:rsid w:val="0050501B"/>
    <w:rsid w:val="00505186"/>
    <w:rsid w:val="0050573A"/>
    <w:rsid w:val="005057F3"/>
    <w:rsid w:val="00505B7D"/>
    <w:rsid w:val="00505F61"/>
    <w:rsid w:val="00506711"/>
    <w:rsid w:val="00506818"/>
    <w:rsid w:val="00506DF3"/>
    <w:rsid w:val="005073B0"/>
    <w:rsid w:val="0050773C"/>
    <w:rsid w:val="00507C57"/>
    <w:rsid w:val="005101F7"/>
    <w:rsid w:val="005103B4"/>
    <w:rsid w:val="00510967"/>
    <w:rsid w:val="00510B50"/>
    <w:rsid w:val="00510C3D"/>
    <w:rsid w:val="00510D02"/>
    <w:rsid w:val="00510D95"/>
    <w:rsid w:val="00510F96"/>
    <w:rsid w:val="005110A0"/>
    <w:rsid w:val="0051169D"/>
    <w:rsid w:val="005117DB"/>
    <w:rsid w:val="00512024"/>
    <w:rsid w:val="0051230E"/>
    <w:rsid w:val="005123E7"/>
    <w:rsid w:val="005129FA"/>
    <w:rsid w:val="00512A12"/>
    <w:rsid w:val="00512C4A"/>
    <w:rsid w:val="00512E26"/>
    <w:rsid w:val="0051313A"/>
    <w:rsid w:val="00513147"/>
    <w:rsid w:val="00513728"/>
    <w:rsid w:val="005138E6"/>
    <w:rsid w:val="0051398D"/>
    <w:rsid w:val="00515405"/>
    <w:rsid w:val="005155D3"/>
    <w:rsid w:val="00515614"/>
    <w:rsid w:val="00515DE9"/>
    <w:rsid w:val="00515E93"/>
    <w:rsid w:val="00515F79"/>
    <w:rsid w:val="00516063"/>
    <w:rsid w:val="0051630A"/>
    <w:rsid w:val="005165A5"/>
    <w:rsid w:val="0051748E"/>
    <w:rsid w:val="005178F5"/>
    <w:rsid w:val="00517A1D"/>
    <w:rsid w:val="00517E84"/>
    <w:rsid w:val="00517F59"/>
    <w:rsid w:val="0052104E"/>
    <w:rsid w:val="005210B9"/>
    <w:rsid w:val="005215A4"/>
    <w:rsid w:val="00521B78"/>
    <w:rsid w:val="00521F28"/>
    <w:rsid w:val="0052273C"/>
    <w:rsid w:val="00522783"/>
    <w:rsid w:val="00522B31"/>
    <w:rsid w:val="00522C96"/>
    <w:rsid w:val="005231F3"/>
    <w:rsid w:val="0052343D"/>
    <w:rsid w:val="005234D7"/>
    <w:rsid w:val="005241A3"/>
    <w:rsid w:val="00524D8E"/>
    <w:rsid w:val="00524EC4"/>
    <w:rsid w:val="00525210"/>
    <w:rsid w:val="005256AF"/>
    <w:rsid w:val="0052578A"/>
    <w:rsid w:val="00526042"/>
    <w:rsid w:val="005266EA"/>
    <w:rsid w:val="00526A1B"/>
    <w:rsid w:val="00526C58"/>
    <w:rsid w:val="00527441"/>
    <w:rsid w:val="005300EF"/>
    <w:rsid w:val="0053034B"/>
    <w:rsid w:val="00530970"/>
    <w:rsid w:val="00530A4C"/>
    <w:rsid w:val="00531307"/>
    <w:rsid w:val="0053141B"/>
    <w:rsid w:val="0053158B"/>
    <w:rsid w:val="00531997"/>
    <w:rsid w:val="00531F4F"/>
    <w:rsid w:val="00531F62"/>
    <w:rsid w:val="0053200B"/>
    <w:rsid w:val="005325EE"/>
    <w:rsid w:val="00532D63"/>
    <w:rsid w:val="005330BE"/>
    <w:rsid w:val="0053370A"/>
    <w:rsid w:val="00533C2D"/>
    <w:rsid w:val="00533F5D"/>
    <w:rsid w:val="005343E6"/>
    <w:rsid w:val="00534724"/>
    <w:rsid w:val="00534B6A"/>
    <w:rsid w:val="00534B88"/>
    <w:rsid w:val="00534DAE"/>
    <w:rsid w:val="005350FB"/>
    <w:rsid w:val="00535595"/>
    <w:rsid w:val="0053566B"/>
    <w:rsid w:val="00535E27"/>
    <w:rsid w:val="005360E3"/>
    <w:rsid w:val="0053733E"/>
    <w:rsid w:val="0053737D"/>
    <w:rsid w:val="00537767"/>
    <w:rsid w:val="005377C5"/>
    <w:rsid w:val="0053795C"/>
    <w:rsid w:val="00537A1E"/>
    <w:rsid w:val="00537A27"/>
    <w:rsid w:val="005406E1"/>
    <w:rsid w:val="00540859"/>
    <w:rsid w:val="0054094F"/>
    <w:rsid w:val="0054118B"/>
    <w:rsid w:val="00541950"/>
    <w:rsid w:val="00541F0E"/>
    <w:rsid w:val="00541F74"/>
    <w:rsid w:val="0054227A"/>
    <w:rsid w:val="0054259B"/>
    <w:rsid w:val="00542BDE"/>
    <w:rsid w:val="00542BF5"/>
    <w:rsid w:val="00542E26"/>
    <w:rsid w:val="0054302D"/>
    <w:rsid w:val="00543C3F"/>
    <w:rsid w:val="00544334"/>
    <w:rsid w:val="00544418"/>
    <w:rsid w:val="005445C0"/>
    <w:rsid w:val="00544A6B"/>
    <w:rsid w:val="00544F35"/>
    <w:rsid w:val="005457A7"/>
    <w:rsid w:val="0054605F"/>
    <w:rsid w:val="00546639"/>
    <w:rsid w:val="0054678F"/>
    <w:rsid w:val="00546BD3"/>
    <w:rsid w:val="00546E25"/>
    <w:rsid w:val="00546E51"/>
    <w:rsid w:val="00546FB5"/>
    <w:rsid w:val="005475C8"/>
    <w:rsid w:val="0055031A"/>
    <w:rsid w:val="00550E01"/>
    <w:rsid w:val="00550E0B"/>
    <w:rsid w:val="005514FD"/>
    <w:rsid w:val="0055154E"/>
    <w:rsid w:val="00551F15"/>
    <w:rsid w:val="0055296B"/>
    <w:rsid w:val="00552B9C"/>
    <w:rsid w:val="00552C60"/>
    <w:rsid w:val="00553473"/>
    <w:rsid w:val="00553498"/>
    <w:rsid w:val="0055494D"/>
    <w:rsid w:val="00554F3D"/>
    <w:rsid w:val="00556468"/>
    <w:rsid w:val="00556604"/>
    <w:rsid w:val="00556948"/>
    <w:rsid w:val="00556991"/>
    <w:rsid w:val="00556BE4"/>
    <w:rsid w:val="00556C4A"/>
    <w:rsid w:val="00556FBC"/>
    <w:rsid w:val="00556FCB"/>
    <w:rsid w:val="0055714E"/>
    <w:rsid w:val="005571E3"/>
    <w:rsid w:val="005571F9"/>
    <w:rsid w:val="0055770F"/>
    <w:rsid w:val="00557798"/>
    <w:rsid w:val="0055798E"/>
    <w:rsid w:val="00557AF1"/>
    <w:rsid w:val="00560063"/>
    <w:rsid w:val="00560CB1"/>
    <w:rsid w:val="00561140"/>
    <w:rsid w:val="0056127F"/>
    <w:rsid w:val="005615AB"/>
    <w:rsid w:val="005616FE"/>
    <w:rsid w:val="00561725"/>
    <w:rsid w:val="005619BA"/>
    <w:rsid w:val="00561AFA"/>
    <w:rsid w:val="00561EAE"/>
    <w:rsid w:val="00562673"/>
    <w:rsid w:val="005627E2"/>
    <w:rsid w:val="00562A8E"/>
    <w:rsid w:val="00562B22"/>
    <w:rsid w:val="00563119"/>
    <w:rsid w:val="00563B43"/>
    <w:rsid w:val="00563F26"/>
    <w:rsid w:val="005645AD"/>
    <w:rsid w:val="005649E1"/>
    <w:rsid w:val="00564B25"/>
    <w:rsid w:val="00564BE8"/>
    <w:rsid w:val="0056521C"/>
    <w:rsid w:val="00565CCA"/>
    <w:rsid w:val="00565E69"/>
    <w:rsid w:val="00566029"/>
    <w:rsid w:val="005665E3"/>
    <w:rsid w:val="005668EF"/>
    <w:rsid w:val="00566952"/>
    <w:rsid w:val="005673EB"/>
    <w:rsid w:val="00567E6B"/>
    <w:rsid w:val="005703F2"/>
    <w:rsid w:val="00570B6B"/>
    <w:rsid w:val="00570C13"/>
    <w:rsid w:val="00570C42"/>
    <w:rsid w:val="00570FF1"/>
    <w:rsid w:val="005713D1"/>
    <w:rsid w:val="0057193D"/>
    <w:rsid w:val="00571A90"/>
    <w:rsid w:val="00571C92"/>
    <w:rsid w:val="00571D7E"/>
    <w:rsid w:val="00571E9D"/>
    <w:rsid w:val="00572003"/>
    <w:rsid w:val="00572276"/>
    <w:rsid w:val="00572543"/>
    <w:rsid w:val="0057298E"/>
    <w:rsid w:val="00572D0D"/>
    <w:rsid w:val="00572DDE"/>
    <w:rsid w:val="0057301F"/>
    <w:rsid w:val="0057319E"/>
    <w:rsid w:val="00573DD0"/>
    <w:rsid w:val="0057417C"/>
    <w:rsid w:val="00574590"/>
    <w:rsid w:val="00574593"/>
    <w:rsid w:val="00574687"/>
    <w:rsid w:val="00574949"/>
    <w:rsid w:val="00574B20"/>
    <w:rsid w:val="005752F7"/>
    <w:rsid w:val="0057555E"/>
    <w:rsid w:val="00575789"/>
    <w:rsid w:val="005759A1"/>
    <w:rsid w:val="00575B23"/>
    <w:rsid w:val="005764E6"/>
    <w:rsid w:val="005766CD"/>
    <w:rsid w:val="00576A93"/>
    <w:rsid w:val="005771FD"/>
    <w:rsid w:val="00577336"/>
    <w:rsid w:val="00577C32"/>
    <w:rsid w:val="005805BF"/>
    <w:rsid w:val="00581934"/>
    <w:rsid w:val="00581A4C"/>
    <w:rsid w:val="00581A8D"/>
    <w:rsid w:val="00581E2C"/>
    <w:rsid w:val="005820CA"/>
    <w:rsid w:val="005820E7"/>
    <w:rsid w:val="005826B6"/>
    <w:rsid w:val="00582F0C"/>
    <w:rsid w:val="0058317E"/>
    <w:rsid w:val="005838D9"/>
    <w:rsid w:val="00583B0A"/>
    <w:rsid w:val="00583C60"/>
    <w:rsid w:val="005847CA"/>
    <w:rsid w:val="0058483C"/>
    <w:rsid w:val="00584959"/>
    <w:rsid w:val="00584D0A"/>
    <w:rsid w:val="00584F33"/>
    <w:rsid w:val="005867E6"/>
    <w:rsid w:val="005868A8"/>
    <w:rsid w:val="00586D25"/>
    <w:rsid w:val="00587062"/>
    <w:rsid w:val="00587170"/>
    <w:rsid w:val="005875CA"/>
    <w:rsid w:val="0058763E"/>
    <w:rsid w:val="0059002C"/>
    <w:rsid w:val="00590373"/>
    <w:rsid w:val="00590569"/>
    <w:rsid w:val="005908AD"/>
    <w:rsid w:val="00590D52"/>
    <w:rsid w:val="00590EC4"/>
    <w:rsid w:val="0059110F"/>
    <w:rsid w:val="00591676"/>
    <w:rsid w:val="005916D5"/>
    <w:rsid w:val="00591DC0"/>
    <w:rsid w:val="00591DF7"/>
    <w:rsid w:val="00591FD9"/>
    <w:rsid w:val="005920F6"/>
    <w:rsid w:val="00592193"/>
    <w:rsid w:val="005928BD"/>
    <w:rsid w:val="005930C0"/>
    <w:rsid w:val="00593924"/>
    <w:rsid w:val="00593A70"/>
    <w:rsid w:val="00593C17"/>
    <w:rsid w:val="00594246"/>
    <w:rsid w:val="00594767"/>
    <w:rsid w:val="00594779"/>
    <w:rsid w:val="00594F88"/>
    <w:rsid w:val="00594FC5"/>
    <w:rsid w:val="0059529F"/>
    <w:rsid w:val="00595492"/>
    <w:rsid w:val="00595501"/>
    <w:rsid w:val="005955D8"/>
    <w:rsid w:val="00595912"/>
    <w:rsid w:val="00596B62"/>
    <w:rsid w:val="005974BF"/>
    <w:rsid w:val="00597614"/>
    <w:rsid w:val="005A0DB7"/>
    <w:rsid w:val="005A12A5"/>
    <w:rsid w:val="005A1D43"/>
    <w:rsid w:val="005A1F37"/>
    <w:rsid w:val="005A216D"/>
    <w:rsid w:val="005A2F54"/>
    <w:rsid w:val="005A32DC"/>
    <w:rsid w:val="005A43A5"/>
    <w:rsid w:val="005A4CA1"/>
    <w:rsid w:val="005A5BCC"/>
    <w:rsid w:val="005A5F91"/>
    <w:rsid w:val="005A668F"/>
    <w:rsid w:val="005A676C"/>
    <w:rsid w:val="005A71B2"/>
    <w:rsid w:val="005A7954"/>
    <w:rsid w:val="005B003D"/>
    <w:rsid w:val="005B0204"/>
    <w:rsid w:val="005B0514"/>
    <w:rsid w:val="005B06B3"/>
    <w:rsid w:val="005B0CB0"/>
    <w:rsid w:val="005B287D"/>
    <w:rsid w:val="005B291D"/>
    <w:rsid w:val="005B317C"/>
    <w:rsid w:val="005B31DB"/>
    <w:rsid w:val="005B347A"/>
    <w:rsid w:val="005B37DF"/>
    <w:rsid w:val="005B3A8C"/>
    <w:rsid w:val="005B3D10"/>
    <w:rsid w:val="005B44B7"/>
    <w:rsid w:val="005B47E6"/>
    <w:rsid w:val="005B4A4F"/>
    <w:rsid w:val="005B4C74"/>
    <w:rsid w:val="005B5104"/>
    <w:rsid w:val="005B557B"/>
    <w:rsid w:val="005B560D"/>
    <w:rsid w:val="005B5701"/>
    <w:rsid w:val="005B5805"/>
    <w:rsid w:val="005B60D4"/>
    <w:rsid w:val="005B61C2"/>
    <w:rsid w:val="005B6966"/>
    <w:rsid w:val="005B79FE"/>
    <w:rsid w:val="005C0784"/>
    <w:rsid w:val="005C0A63"/>
    <w:rsid w:val="005C1A78"/>
    <w:rsid w:val="005C2687"/>
    <w:rsid w:val="005C274F"/>
    <w:rsid w:val="005C2C95"/>
    <w:rsid w:val="005C3454"/>
    <w:rsid w:val="005C3582"/>
    <w:rsid w:val="005C39C6"/>
    <w:rsid w:val="005C3DAD"/>
    <w:rsid w:val="005C42DA"/>
    <w:rsid w:val="005C4B6B"/>
    <w:rsid w:val="005C533B"/>
    <w:rsid w:val="005C5B6C"/>
    <w:rsid w:val="005C6041"/>
    <w:rsid w:val="005C60ED"/>
    <w:rsid w:val="005C62BE"/>
    <w:rsid w:val="005C6C59"/>
    <w:rsid w:val="005C7347"/>
    <w:rsid w:val="005C7676"/>
    <w:rsid w:val="005D0C53"/>
    <w:rsid w:val="005D0E20"/>
    <w:rsid w:val="005D1708"/>
    <w:rsid w:val="005D22A5"/>
    <w:rsid w:val="005D337D"/>
    <w:rsid w:val="005D3C00"/>
    <w:rsid w:val="005D3D7F"/>
    <w:rsid w:val="005D421F"/>
    <w:rsid w:val="005D42A5"/>
    <w:rsid w:val="005D4343"/>
    <w:rsid w:val="005D4F9B"/>
    <w:rsid w:val="005D5089"/>
    <w:rsid w:val="005D51AF"/>
    <w:rsid w:val="005D54B7"/>
    <w:rsid w:val="005D56BC"/>
    <w:rsid w:val="005D5EA3"/>
    <w:rsid w:val="005D6787"/>
    <w:rsid w:val="005D6828"/>
    <w:rsid w:val="005D6A9F"/>
    <w:rsid w:val="005D6E69"/>
    <w:rsid w:val="005D6F55"/>
    <w:rsid w:val="005D7220"/>
    <w:rsid w:val="005D731F"/>
    <w:rsid w:val="005D7424"/>
    <w:rsid w:val="005D76EF"/>
    <w:rsid w:val="005D776D"/>
    <w:rsid w:val="005D78D2"/>
    <w:rsid w:val="005D7DF5"/>
    <w:rsid w:val="005E0392"/>
    <w:rsid w:val="005E0418"/>
    <w:rsid w:val="005E04C5"/>
    <w:rsid w:val="005E1185"/>
    <w:rsid w:val="005E197D"/>
    <w:rsid w:val="005E2084"/>
    <w:rsid w:val="005E237E"/>
    <w:rsid w:val="005E24D5"/>
    <w:rsid w:val="005E24FC"/>
    <w:rsid w:val="005E2B74"/>
    <w:rsid w:val="005E2DEB"/>
    <w:rsid w:val="005E338D"/>
    <w:rsid w:val="005E38C1"/>
    <w:rsid w:val="005E3C85"/>
    <w:rsid w:val="005E3D69"/>
    <w:rsid w:val="005E3E46"/>
    <w:rsid w:val="005E427A"/>
    <w:rsid w:val="005E4282"/>
    <w:rsid w:val="005E456B"/>
    <w:rsid w:val="005E465E"/>
    <w:rsid w:val="005E4B40"/>
    <w:rsid w:val="005E6583"/>
    <w:rsid w:val="005E68E9"/>
    <w:rsid w:val="005E7098"/>
    <w:rsid w:val="005E7182"/>
    <w:rsid w:val="005E75B4"/>
    <w:rsid w:val="005E7F49"/>
    <w:rsid w:val="005F007A"/>
    <w:rsid w:val="005F0279"/>
    <w:rsid w:val="005F0B8A"/>
    <w:rsid w:val="005F0F4A"/>
    <w:rsid w:val="005F1C9A"/>
    <w:rsid w:val="005F1F00"/>
    <w:rsid w:val="005F1FD2"/>
    <w:rsid w:val="005F1FD4"/>
    <w:rsid w:val="005F28F8"/>
    <w:rsid w:val="005F30AA"/>
    <w:rsid w:val="005F480A"/>
    <w:rsid w:val="005F4A1B"/>
    <w:rsid w:val="005F5E22"/>
    <w:rsid w:val="005F60F0"/>
    <w:rsid w:val="005F6163"/>
    <w:rsid w:val="005F62C1"/>
    <w:rsid w:val="005F65C0"/>
    <w:rsid w:val="005F67B9"/>
    <w:rsid w:val="005F7150"/>
    <w:rsid w:val="005F7177"/>
    <w:rsid w:val="005F719A"/>
    <w:rsid w:val="005F78A1"/>
    <w:rsid w:val="005F78E3"/>
    <w:rsid w:val="005F797E"/>
    <w:rsid w:val="005F7F4D"/>
    <w:rsid w:val="0060097C"/>
    <w:rsid w:val="00600A4F"/>
    <w:rsid w:val="00600BC1"/>
    <w:rsid w:val="00600E06"/>
    <w:rsid w:val="006012C2"/>
    <w:rsid w:val="0060183E"/>
    <w:rsid w:val="006018B9"/>
    <w:rsid w:val="006018CB"/>
    <w:rsid w:val="006022A7"/>
    <w:rsid w:val="00602483"/>
    <w:rsid w:val="00602696"/>
    <w:rsid w:val="0060281A"/>
    <w:rsid w:val="00602BAA"/>
    <w:rsid w:val="00603420"/>
    <w:rsid w:val="00603865"/>
    <w:rsid w:val="00603969"/>
    <w:rsid w:val="00603B7E"/>
    <w:rsid w:val="0060423F"/>
    <w:rsid w:val="00605434"/>
    <w:rsid w:val="00605AE9"/>
    <w:rsid w:val="00605BAA"/>
    <w:rsid w:val="00605DFC"/>
    <w:rsid w:val="00606008"/>
    <w:rsid w:val="00606859"/>
    <w:rsid w:val="00606CEC"/>
    <w:rsid w:val="00606FF0"/>
    <w:rsid w:val="00607633"/>
    <w:rsid w:val="006078B9"/>
    <w:rsid w:val="0060797A"/>
    <w:rsid w:val="00607C19"/>
    <w:rsid w:val="00610383"/>
    <w:rsid w:val="00610504"/>
    <w:rsid w:val="00610645"/>
    <w:rsid w:val="00610EE3"/>
    <w:rsid w:val="00611445"/>
    <w:rsid w:val="0061168E"/>
    <w:rsid w:val="00611814"/>
    <w:rsid w:val="00611CBE"/>
    <w:rsid w:val="00611F6C"/>
    <w:rsid w:val="0061215B"/>
    <w:rsid w:val="006125FB"/>
    <w:rsid w:val="00612634"/>
    <w:rsid w:val="0061294F"/>
    <w:rsid w:val="00613FA6"/>
    <w:rsid w:val="006142B1"/>
    <w:rsid w:val="0061440D"/>
    <w:rsid w:val="006148D9"/>
    <w:rsid w:val="00615365"/>
    <w:rsid w:val="0061599F"/>
    <w:rsid w:val="00615F1F"/>
    <w:rsid w:val="006161E0"/>
    <w:rsid w:val="0061627C"/>
    <w:rsid w:val="00616FE4"/>
    <w:rsid w:val="00616FE9"/>
    <w:rsid w:val="00617397"/>
    <w:rsid w:val="0061772B"/>
    <w:rsid w:val="00617A2F"/>
    <w:rsid w:val="00617E07"/>
    <w:rsid w:val="00620804"/>
    <w:rsid w:val="00620CA3"/>
    <w:rsid w:val="00621455"/>
    <w:rsid w:val="00621E7D"/>
    <w:rsid w:val="0062209B"/>
    <w:rsid w:val="0062283D"/>
    <w:rsid w:val="0062376D"/>
    <w:rsid w:val="00623931"/>
    <w:rsid w:val="00623B10"/>
    <w:rsid w:val="00623C9E"/>
    <w:rsid w:val="00624C25"/>
    <w:rsid w:val="00624DA9"/>
    <w:rsid w:val="00625032"/>
    <w:rsid w:val="0062551B"/>
    <w:rsid w:val="0062552A"/>
    <w:rsid w:val="00625C5B"/>
    <w:rsid w:val="006260E9"/>
    <w:rsid w:val="006265D5"/>
    <w:rsid w:val="0062660C"/>
    <w:rsid w:val="00626EC1"/>
    <w:rsid w:val="00627B92"/>
    <w:rsid w:val="00627BA7"/>
    <w:rsid w:val="00627C22"/>
    <w:rsid w:val="006300BC"/>
    <w:rsid w:val="00630C13"/>
    <w:rsid w:val="00630F97"/>
    <w:rsid w:val="006311CC"/>
    <w:rsid w:val="006313DB"/>
    <w:rsid w:val="006314E7"/>
    <w:rsid w:val="0063187A"/>
    <w:rsid w:val="006319BC"/>
    <w:rsid w:val="006324EA"/>
    <w:rsid w:val="006325C3"/>
    <w:rsid w:val="00632623"/>
    <w:rsid w:val="00632ECF"/>
    <w:rsid w:val="00633275"/>
    <w:rsid w:val="00633889"/>
    <w:rsid w:val="00633A13"/>
    <w:rsid w:val="00633D9C"/>
    <w:rsid w:val="00634009"/>
    <w:rsid w:val="006340B5"/>
    <w:rsid w:val="00634233"/>
    <w:rsid w:val="0063489C"/>
    <w:rsid w:val="00634A62"/>
    <w:rsid w:val="00634A97"/>
    <w:rsid w:val="00634ABE"/>
    <w:rsid w:val="0063507B"/>
    <w:rsid w:val="006352A2"/>
    <w:rsid w:val="006364AE"/>
    <w:rsid w:val="006365C4"/>
    <w:rsid w:val="00636B59"/>
    <w:rsid w:val="00636D13"/>
    <w:rsid w:val="0063713B"/>
    <w:rsid w:val="0063731C"/>
    <w:rsid w:val="00637428"/>
    <w:rsid w:val="00637520"/>
    <w:rsid w:val="00637B45"/>
    <w:rsid w:val="0064072A"/>
    <w:rsid w:val="00640D58"/>
    <w:rsid w:val="00641096"/>
    <w:rsid w:val="0064206A"/>
    <w:rsid w:val="00642280"/>
    <w:rsid w:val="00642B6C"/>
    <w:rsid w:val="0064302E"/>
    <w:rsid w:val="00643912"/>
    <w:rsid w:val="006440CF"/>
    <w:rsid w:val="0064442B"/>
    <w:rsid w:val="00644A39"/>
    <w:rsid w:val="00644F4B"/>
    <w:rsid w:val="00645553"/>
    <w:rsid w:val="006456CC"/>
    <w:rsid w:val="006458D4"/>
    <w:rsid w:val="00646E8D"/>
    <w:rsid w:val="00647229"/>
    <w:rsid w:val="0064735D"/>
    <w:rsid w:val="00647FAA"/>
    <w:rsid w:val="00650110"/>
    <w:rsid w:val="00650613"/>
    <w:rsid w:val="0065095D"/>
    <w:rsid w:val="006509F1"/>
    <w:rsid w:val="00650CC5"/>
    <w:rsid w:val="00650F9F"/>
    <w:rsid w:val="00651057"/>
    <w:rsid w:val="00651C9B"/>
    <w:rsid w:val="006528C3"/>
    <w:rsid w:val="00652AD0"/>
    <w:rsid w:val="00652B8B"/>
    <w:rsid w:val="00653B42"/>
    <w:rsid w:val="00653E5A"/>
    <w:rsid w:val="00653F82"/>
    <w:rsid w:val="0065439A"/>
    <w:rsid w:val="00655AC6"/>
    <w:rsid w:val="00656431"/>
    <w:rsid w:val="0065651E"/>
    <w:rsid w:val="00656916"/>
    <w:rsid w:val="00656DA6"/>
    <w:rsid w:val="00656F3F"/>
    <w:rsid w:val="00656FD7"/>
    <w:rsid w:val="006575BB"/>
    <w:rsid w:val="0065783F"/>
    <w:rsid w:val="00660545"/>
    <w:rsid w:val="006605B3"/>
    <w:rsid w:val="00661BA8"/>
    <w:rsid w:val="006621CA"/>
    <w:rsid w:val="00662348"/>
    <w:rsid w:val="00662691"/>
    <w:rsid w:val="00663200"/>
    <w:rsid w:val="00663209"/>
    <w:rsid w:val="006643EE"/>
    <w:rsid w:val="00664BD5"/>
    <w:rsid w:val="00665544"/>
    <w:rsid w:val="006670C5"/>
    <w:rsid w:val="0067009F"/>
    <w:rsid w:val="00670174"/>
    <w:rsid w:val="00670C69"/>
    <w:rsid w:val="006711C5"/>
    <w:rsid w:val="00671A52"/>
    <w:rsid w:val="00671D6D"/>
    <w:rsid w:val="00672379"/>
    <w:rsid w:val="00673420"/>
    <w:rsid w:val="00673AAF"/>
    <w:rsid w:val="00674DD5"/>
    <w:rsid w:val="00674F4E"/>
    <w:rsid w:val="00675CAA"/>
    <w:rsid w:val="00675E9D"/>
    <w:rsid w:val="00676239"/>
    <w:rsid w:val="00676455"/>
    <w:rsid w:val="0067690D"/>
    <w:rsid w:val="006771B1"/>
    <w:rsid w:val="006807A7"/>
    <w:rsid w:val="006809EF"/>
    <w:rsid w:val="00681886"/>
    <w:rsid w:val="00681B3D"/>
    <w:rsid w:val="0068259F"/>
    <w:rsid w:val="006825CC"/>
    <w:rsid w:val="00683738"/>
    <w:rsid w:val="00683DED"/>
    <w:rsid w:val="00683E6F"/>
    <w:rsid w:val="006846FD"/>
    <w:rsid w:val="00684AB0"/>
    <w:rsid w:val="00685713"/>
    <w:rsid w:val="00685A7E"/>
    <w:rsid w:val="00685EA4"/>
    <w:rsid w:val="0068616A"/>
    <w:rsid w:val="006861B3"/>
    <w:rsid w:val="006864C6"/>
    <w:rsid w:val="00686CAC"/>
    <w:rsid w:val="00686F28"/>
    <w:rsid w:val="00687124"/>
    <w:rsid w:val="00687C01"/>
    <w:rsid w:val="00687DE3"/>
    <w:rsid w:val="0069004F"/>
    <w:rsid w:val="0069056E"/>
    <w:rsid w:val="006909B6"/>
    <w:rsid w:val="006909DB"/>
    <w:rsid w:val="006909E6"/>
    <w:rsid w:val="00690CF2"/>
    <w:rsid w:val="00690E72"/>
    <w:rsid w:val="00691065"/>
    <w:rsid w:val="006910BA"/>
    <w:rsid w:val="00691768"/>
    <w:rsid w:val="00691788"/>
    <w:rsid w:val="00692352"/>
    <w:rsid w:val="00692674"/>
    <w:rsid w:val="00692940"/>
    <w:rsid w:val="00692B7C"/>
    <w:rsid w:val="0069343D"/>
    <w:rsid w:val="006935BD"/>
    <w:rsid w:val="0069376A"/>
    <w:rsid w:val="00693A38"/>
    <w:rsid w:val="00693BC9"/>
    <w:rsid w:val="00694311"/>
    <w:rsid w:val="006943B3"/>
    <w:rsid w:val="00694C33"/>
    <w:rsid w:val="00694D00"/>
    <w:rsid w:val="00694EDF"/>
    <w:rsid w:val="0069572B"/>
    <w:rsid w:val="006958FD"/>
    <w:rsid w:val="00695D62"/>
    <w:rsid w:val="00695DFD"/>
    <w:rsid w:val="0069618F"/>
    <w:rsid w:val="0069725A"/>
    <w:rsid w:val="0069734D"/>
    <w:rsid w:val="0069776A"/>
    <w:rsid w:val="0069783C"/>
    <w:rsid w:val="00697A93"/>
    <w:rsid w:val="00697AF5"/>
    <w:rsid w:val="00697D47"/>
    <w:rsid w:val="006A0111"/>
    <w:rsid w:val="006A0153"/>
    <w:rsid w:val="006A0203"/>
    <w:rsid w:val="006A0867"/>
    <w:rsid w:val="006A094C"/>
    <w:rsid w:val="006A125C"/>
    <w:rsid w:val="006A12B6"/>
    <w:rsid w:val="006A15ED"/>
    <w:rsid w:val="006A171D"/>
    <w:rsid w:val="006A1AAE"/>
    <w:rsid w:val="006A1B8E"/>
    <w:rsid w:val="006A2337"/>
    <w:rsid w:val="006A23BB"/>
    <w:rsid w:val="006A24A5"/>
    <w:rsid w:val="006A25A7"/>
    <w:rsid w:val="006A2908"/>
    <w:rsid w:val="006A32AF"/>
    <w:rsid w:val="006A3480"/>
    <w:rsid w:val="006A3706"/>
    <w:rsid w:val="006A3765"/>
    <w:rsid w:val="006A4029"/>
    <w:rsid w:val="006A4287"/>
    <w:rsid w:val="006A5571"/>
    <w:rsid w:val="006A558F"/>
    <w:rsid w:val="006A5A45"/>
    <w:rsid w:val="006A5AD0"/>
    <w:rsid w:val="006A5B92"/>
    <w:rsid w:val="006A5D52"/>
    <w:rsid w:val="006A620E"/>
    <w:rsid w:val="006A6BF1"/>
    <w:rsid w:val="006A6FED"/>
    <w:rsid w:val="006A7360"/>
    <w:rsid w:val="006A778E"/>
    <w:rsid w:val="006A789A"/>
    <w:rsid w:val="006A7998"/>
    <w:rsid w:val="006A7DDB"/>
    <w:rsid w:val="006B1163"/>
    <w:rsid w:val="006B20B4"/>
    <w:rsid w:val="006B224B"/>
    <w:rsid w:val="006B24C5"/>
    <w:rsid w:val="006B274B"/>
    <w:rsid w:val="006B2A14"/>
    <w:rsid w:val="006B2CC9"/>
    <w:rsid w:val="006B319F"/>
    <w:rsid w:val="006B3279"/>
    <w:rsid w:val="006B3798"/>
    <w:rsid w:val="006B427D"/>
    <w:rsid w:val="006B4294"/>
    <w:rsid w:val="006B42E9"/>
    <w:rsid w:val="006B43A6"/>
    <w:rsid w:val="006B58E8"/>
    <w:rsid w:val="006B6723"/>
    <w:rsid w:val="006B67A8"/>
    <w:rsid w:val="006B6956"/>
    <w:rsid w:val="006B6ADD"/>
    <w:rsid w:val="006B6EB4"/>
    <w:rsid w:val="006B7B9A"/>
    <w:rsid w:val="006B7EE2"/>
    <w:rsid w:val="006B7FEE"/>
    <w:rsid w:val="006C0031"/>
    <w:rsid w:val="006C035A"/>
    <w:rsid w:val="006C03B1"/>
    <w:rsid w:val="006C05F0"/>
    <w:rsid w:val="006C091E"/>
    <w:rsid w:val="006C0DE3"/>
    <w:rsid w:val="006C15FD"/>
    <w:rsid w:val="006C169D"/>
    <w:rsid w:val="006C1AD2"/>
    <w:rsid w:val="006C1BC7"/>
    <w:rsid w:val="006C1E7B"/>
    <w:rsid w:val="006C23AE"/>
    <w:rsid w:val="006C256B"/>
    <w:rsid w:val="006C2A63"/>
    <w:rsid w:val="006C2C8C"/>
    <w:rsid w:val="006C4092"/>
    <w:rsid w:val="006C4503"/>
    <w:rsid w:val="006C45AA"/>
    <w:rsid w:val="006C4645"/>
    <w:rsid w:val="006C4CD0"/>
    <w:rsid w:val="006C565D"/>
    <w:rsid w:val="006C5BAA"/>
    <w:rsid w:val="006C69C9"/>
    <w:rsid w:val="006C6BA0"/>
    <w:rsid w:val="006C794C"/>
    <w:rsid w:val="006D00B8"/>
    <w:rsid w:val="006D03CD"/>
    <w:rsid w:val="006D0C94"/>
    <w:rsid w:val="006D36CF"/>
    <w:rsid w:val="006D3840"/>
    <w:rsid w:val="006D3C62"/>
    <w:rsid w:val="006D420A"/>
    <w:rsid w:val="006D4D84"/>
    <w:rsid w:val="006D4E86"/>
    <w:rsid w:val="006D4F60"/>
    <w:rsid w:val="006D585C"/>
    <w:rsid w:val="006D5D2D"/>
    <w:rsid w:val="006D6635"/>
    <w:rsid w:val="006D664E"/>
    <w:rsid w:val="006D6AFA"/>
    <w:rsid w:val="006D6C9D"/>
    <w:rsid w:val="006D6CC2"/>
    <w:rsid w:val="006D6DF4"/>
    <w:rsid w:val="006D7352"/>
    <w:rsid w:val="006D7745"/>
    <w:rsid w:val="006D7C01"/>
    <w:rsid w:val="006D7C17"/>
    <w:rsid w:val="006E0305"/>
    <w:rsid w:val="006E0764"/>
    <w:rsid w:val="006E0A1E"/>
    <w:rsid w:val="006E0A4C"/>
    <w:rsid w:val="006E0E90"/>
    <w:rsid w:val="006E1175"/>
    <w:rsid w:val="006E14E7"/>
    <w:rsid w:val="006E172A"/>
    <w:rsid w:val="006E1B9A"/>
    <w:rsid w:val="006E27A5"/>
    <w:rsid w:val="006E2CA1"/>
    <w:rsid w:val="006E2FA1"/>
    <w:rsid w:val="006E349F"/>
    <w:rsid w:val="006E358F"/>
    <w:rsid w:val="006E39F9"/>
    <w:rsid w:val="006E3ACC"/>
    <w:rsid w:val="006E3E37"/>
    <w:rsid w:val="006E4508"/>
    <w:rsid w:val="006E4AA0"/>
    <w:rsid w:val="006E5A4D"/>
    <w:rsid w:val="006E61E6"/>
    <w:rsid w:val="006E6563"/>
    <w:rsid w:val="006E6A19"/>
    <w:rsid w:val="006E6DDE"/>
    <w:rsid w:val="006E6EB1"/>
    <w:rsid w:val="006E7319"/>
    <w:rsid w:val="006E7ABB"/>
    <w:rsid w:val="006E7E9D"/>
    <w:rsid w:val="006F1124"/>
    <w:rsid w:val="006F126A"/>
    <w:rsid w:val="006F160B"/>
    <w:rsid w:val="006F25A3"/>
    <w:rsid w:val="006F281B"/>
    <w:rsid w:val="006F3A9E"/>
    <w:rsid w:val="006F3CD2"/>
    <w:rsid w:val="006F47A9"/>
    <w:rsid w:val="006F47D7"/>
    <w:rsid w:val="006F51DD"/>
    <w:rsid w:val="006F539F"/>
    <w:rsid w:val="006F5A29"/>
    <w:rsid w:val="006F5E9F"/>
    <w:rsid w:val="006F6393"/>
    <w:rsid w:val="006F655E"/>
    <w:rsid w:val="006F6CDA"/>
    <w:rsid w:val="006F6E29"/>
    <w:rsid w:val="006F7220"/>
    <w:rsid w:val="006F75E2"/>
    <w:rsid w:val="006F780D"/>
    <w:rsid w:val="006F78F6"/>
    <w:rsid w:val="006F79A3"/>
    <w:rsid w:val="006F7B5E"/>
    <w:rsid w:val="006F7DCB"/>
    <w:rsid w:val="0070048A"/>
    <w:rsid w:val="0070078E"/>
    <w:rsid w:val="0070126E"/>
    <w:rsid w:val="00701799"/>
    <w:rsid w:val="00701DE2"/>
    <w:rsid w:val="00702037"/>
    <w:rsid w:val="00702CAA"/>
    <w:rsid w:val="00703AE2"/>
    <w:rsid w:val="0070455A"/>
    <w:rsid w:val="007045C4"/>
    <w:rsid w:val="00704A94"/>
    <w:rsid w:val="0070518F"/>
    <w:rsid w:val="007052E4"/>
    <w:rsid w:val="00705ECF"/>
    <w:rsid w:val="007064E3"/>
    <w:rsid w:val="00707490"/>
    <w:rsid w:val="007074D2"/>
    <w:rsid w:val="007075A8"/>
    <w:rsid w:val="00707CA4"/>
    <w:rsid w:val="00707FA5"/>
    <w:rsid w:val="00710393"/>
    <w:rsid w:val="007106F1"/>
    <w:rsid w:val="0071081D"/>
    <w:rsid w:val="00710977"/>
    <w:rsid w:val="00710AC4"/>
    <w:rsid w:val="007110DA"/>
    <w:rsid w:val="00711870"/>
    <w:rsid w:val="00711971"/>
    <w:rsid w:val="00711B9F"/>
    <w:rsid w:val="00711CAA"/>
    <w:rsid w:val="007122DF"/>
    <w:rsid w:val="007128A0"/>
    <w:rsid w:val="00713192"/>
    <w:rsid w:val="0071319B"/>
    <w:rsid w:val="00713D0D"/>
    <w:rsid w:val="00714245"/>
    <w:rsid w:val="00714DE3"/>
    <w:rsid w:val="007161C3"/>
    <w:rsid w:val="007163F2"/>
    <w:rsid w:val="0071640E"/>
    <w:rsid w:val="00716570"/>
    <w:rsid w:val="00716A26"/>
    <w:rsid w:val="0071701C"/>
    <w:rsid w:val="00717354"/>
    <w:rsid w:val="00717543"/>
    <w:rsid w:val="007179EA"/>
    <w:rsid w:val="007200AF"/>
    <w:rsid w:val="007202BE"/>
    <w:rsid w:val="00720428"/>
    <w:rsid w:val="0072062B"/>
    <w:rsid w:val="007206CB"/>
    <w:rsid w:val="007207EF"/>
    <w:rsid w:val="007208DF"/>
    <w:rsid w:val="00720C06"/>
    <w:rsid w:val="00720CF7"/>
    <w:rsid w:val="00720E47"/>
    <w:rsid w:val="00720F19"/>
    <w:rsid w:val="00721215"/>
    <w:rsid w:val="00721470"/>
    <w:rsid w:val="0072184C"/>
    <w:rsid w:val="00721D8B"/>
    <w:rsid w:val="00722191"/>
    <w:rsid w:val="00722525"/>
    <w:rsid w:val="007229EE"/>
    <w:rsid w:val="00722C05"/>
    <w:rsid w:val="00722D81"/>
    <w:rsid w:val="00723636"/>
    <w:rsid w:val="007237E2"/>
    <w:rsid w:val="007241EF"/>
    <w:rsid w:val="00724913"/>
    <w:rsid w:val="00724F62"/>
    <w:rsid w:val="007256E4"/>
    <w:rsid w:val="00725CF4"/>
    <w:rsid w:val="00725FB6"/>
    <w:rsid w:val="00726013"/>
    <w:rsid w:val="0072612B"/>
    <w:rsid w:val="00726FB4"/>
    <w:rsid w:val="007276E0"/>
    <w:rsid w:val="00727C39"/>
    <w:rsid w:val="0072D632"/>
    <w:rsid w:val="00730893"/>
    <w:rsid w:val="00730C9F"/>
    <w:rsid w:val="00730D3B"/>
    <w:rsid w:val="00730D8B"/>
    <w:rsid w:val="00730E9D"/>
    <w:rsid w:val="00730EC2"/>
    <w:rsid w:val="00730F41"/>
    <w:rsid w:val="0073140A"/>
    <w:rsid w:val="00731C53"/>
    <w:rsid w:val="00731CE3"/>
    <w:rsid w:val="00732362"/>
    <w:rsid w:val="007323DA"/>
    <w:rsid w:val="00732EDF"/>
    <w:rsid w:val="0073338C"/>
    <w:rsid w:val="007339C3"/>
    <w:rsid w:val="00733A8D"/>
    <w:rsid w:val="00733E5A"/>
    <w:rsid w:val="007342C4"/>
    <w:rsid w:val="007347AE"/>
    <w:rsid w:val="007349B2"/>
    <w:rsid w:val="00734CED"/>
    <w:rsid w:val="0073545B"/>
    <w:rsid w:val="007356BD"/>
    <w:rsid w:val="007357E9"/>
    <w:rsid w:val="00735DF4"/>
    <w:rsid w:val="00735E75"/>
    <w:rsid w:val="0073634A"/>
    <w:rsid w:val="0073658C"/>
    <w:rsid w:val="00736593"/>
    <w:rsid w:val="00736BA9"/>
    <w:rsid w:val="00736FBF"/>
    <w:rsid w:val="007373DE"/>
    <w:rsid w:val="007374F9"/>
    <w:rsid w:val="007375AC"/>
    <w:rsid w:val="007375D5"/>
    <w:rsid w:val="00737FB9"/>
    <w:rsid w:val="00740379"/>
    <w:rsid w:val="007406F7"/>
    <w:rsid w:val="00740A6C"/>
    <w:rsid w:val="00740EEA"/>
    <w:rsid w:val="00741583"/>
    <w:rsid w:val="00741A66"/>
    <w:rsid w:val="00741B9F"/>
    <w:rsid w:val="00742682"/>
    <w:rsid w:val="007426C3"/>
    <w:rsid w:val="007427F8"/>
    <w:rsid w:val="00742940"/>
    <w:rsid w:val="00742BE9"/>
    <w:rsid w:val="00743100"/>
    <w:rsid w:val="0074315F"/>
    <w:rsid w:val="0074345F"/>
    <w:rsid w:val="007437A8"/>
    <w:rsid w:val="00744A37"/>
    <w:rsid w:val="0074518A"/>
    <w:rsid w:val="00745336"/>
    <w:rsid w:val="007453DE"/>
    <w:rsid w:val="007456F6"/>
    <w:rsid w:val="00745914"/>
    <w:rsid w:val="00746A24"/>
    <w:rsid w:val="00746FD8"/>
    <w:rsid w:val="007470F7"/>
    <w:rsid w:val="007471CB"/>
    <w:rsid w:val="0074755E"/>
    <w:rsid w:val="00747719"/>
    <w:rsid w:val="00750FAC"/>
    <w:rsid w:val="0075149A"/>
    <w:rsid w:val="00751802"/>
    <w:rsid w:val="00751852"/>
    <w:rsid w:val="00751B46"/>
    <w:rsid w:val="00751C2A"/>
    <w:rsid w:val="00751F10"/>
    <w:rsid w:val="007524D2"/>
    <w:rsid w:val="00752A71"/>
    <w:rsid w:val="00752AA2"/>
    <w:rsid w:val="00753300"/>
    <w:rsid w:val="00753372"/>
    <w:rsid w:val="007533D3"/>
    <w:rsid w:val="00753A38"/>
    <w:rsid w:val="00754182"/>
    <w:rsid w:val="00754396"/>
    <w:rsid w:val="00754B9F"/>
    <w:rsid w:val="00754DAE"/>
    <w:rsid w:val="00754E9E"/>
    <w:rsid w:val="00755010"/>
    <w:rsid w:val="0075550E"/>
    <w:rsid w:val="00755EFE"/>
    <w:rsid w:val="007562F7"/>
    <w:rsid w:val="007569C4"/>
    <w:rsid w:val="00756A4A"/>
    <w:rsid w:val="00756CFB"/>
    <w:rsid w:val="00757B0B"/>
    <w:rsid w:val="00757C39"/>
    <w:rsid w:val="00757D0F"/>
    <w:rsid w:val="00760026"/>
    <w:rsid w:val="00760513"/>
    <w:rsid w:val="0076093C"/>
    <w:rsid w:val="00760C0A"/>
    <w:rsid w:val="00760FBA"/>
    <w:rsid w:val="007614A4"/>
    <w:rsid w:val="0076159B"/>
    <w:rsid w:val="0076168C"/>
    <w:rsid w:val="007616D0"/>
    <w:rsid w:val="00761737"/>
    <w:rsid w:val="0076179A"/>
    <w:rsid w:val="007619A5"/>
    <w:rsid w:val="00761B3B"/>
    <w:rsid w:val="00761E70"/>
    <w:rsid w:val="00761E75"/>
    <w:rsid w:val="00762536"/>
    <w:rsid w:val="007629E8"/>
    <w:rsid w:val="00762BB0"/>
    <w:rsid w:val="007632F7"/>
    <w:rsid w:val="00764008"/>
    <w:rsid w:val="0076487C"/>
    <w:rsid w:val="00764B02"/>
    <w:rsid w:val="0076506A"/>
    <w:rsid w:val="007653A2"/>
    <w:rsid w:val="00765CC3"/>
    <w:rsid w:val="00765FF6"/>
    <w:rsid w:val="00766196"/>
    <w:rsid w:val="0076643D"/>
    <w:rsid w:val="007666EE"/>
    <w:rsid w:val="00766880"/>
    <w:rsid w:val="00766BB2"/>
    <w:rsid w:val="00766F9F"/>
    <w:rsid w:val="00766FE2"/>
    <w:rsid w:val="00767229"/>
    <w:rsid w:val="007674E3"/>
    <w:rsid w:val="007675F3"/>
    <w:rsid w:val="0076781C"/>
    <w:rsid w:val="00767E39"/>
    <w:rsid w:val="00767EA1"/>
    <w:rsid w:val="00770829"/>
    <w:rsid w:val="007709FE"/>
    <w:rsid w:val="00770C24"/>
    <w:rsid w:val="00770ED3"/>
    <w:rsid w:val="00771042"/>
    <w:rsid w:val="00771778"/>
    <w:rsid w:val="00771D40"/>
    <w:rsid w:val="00771E9C"/>
    <w:rsid w:val="00772132"/>
    <w:rsid w:val="00772329"/>
    <w:rsid w:val="0077322F"/>
    <w:rsid w:val="007739FC"/>
    <w:rsid w:val="00774194"/>
    <w:rsid w:val="00774659"/>
    <w:rsid w:val="00774A13"/>
    <w:rsid w:val="00774ED9"/>
    <w:rsid w:val="00774EE9"/>
    <w:rsid w:val="00776289"/>
    <w:rsid w:val="0077654B"/>
    <w:rsid w:val="00776891"/>
    <w:rsid w:val="00776934"/>
    <w:rsid w:val="007772A5"/>
    <w:rsid w:val="00777924"/>
    <w:rsid w:val="00777E32"/>
    <w:rsid w:val="00777E76"/>
    <w:rsid w:val="00777F80"/>
    <w:rsid w:val="007802FB"/>
    <w:rsid w:val="007804EE"/>
    <w:rsid w:val="0078070B"/>
    <w:rsid w:val="00780B3A"/>
    <w:rsid w:val="00780BB9"/>
    <w:rsid w:val="007826C2"/>
    <w:rsid w:val="007828B6"/>
    <w:rsid w:val="007828F1"/>
    <w:rsid w:val="00782969"/>
    <w:rsid w:val="007829BD"/>
    <w:rsid w:val="00782C0C"/>
    <w:rsid w:val="0078304D"/>
    <w:rsid w:val="0078312B"/>
    <w:rsid w:val="007836B9"/>
    <w:rsid w:val="00785038"/>
    <w:rsid w:val="007850D4"/>
    <w:rsid w:val="00785A6B"/>
    <w:rsid w:val="00785DD9"/>
    <w:rsid w:val="00785ECD"/>
    <w:rsid w:val="00786ECC"/>
    <w:rsid w:val="0078700D"/>
    <w:rsid w:val="0078728C"/>
    <w:rsid w:val="00787812"/>
    <w:rsid w:val="00787B62"/>
    <w:rsid w:val="00787C23"/>
    <w:rsid w:val="007905C4"/>
    <w:rsid w:val="00790689"/>
    <w:rsid w:val="00790AC1"/>
    <w:rsid w:val="00790DF7"/>
    <w:rsid w:val="00790F27"/>
    <w:rsid w:val="007914D8"/>
    <w:rsid w:val="00791815"/>
    <w:rsid w:val="00791B92"/>
    <w:rsid w:val="00792382"/>
    <w:rsid w:val="007928E0"/>
    <w:rsid w:val="00792CE2"/>
    <w:rsid w:val="00792DE6"/>
    <w:rsid w:val="00792F90"/>
    <w:rsid w:val="00793604"/>
    <w:rsid w:val="00793778"/>
    <w:rsid w:val="007940AD"/>
    <w:rsid w:val="00794194"/>
    <w:rsid w:val="0079443C"/>
    <w:rsid w:val="00794A11"/>
    <w:rsid w:val="00794C3B"/>
    <w:rsid w:val="00795078"/>
    <w:rsid w:val="00795617"/>
    <w:rsid w:val="007958E5"/>
    <w:rsid w:val="00795ADB"/>
    <w:rsid w:val="00795B7E"/>
    <w:rsid w:val="00795EF4"/>
    <w:rsid w:val="0079617B"/>
    <w:rsid w:val="0079660F"/>
    <w:rsid w:val="0079727C"/>
    <w:rsid w:val="007977CA"/>
    <w:rsid w:val="00797F86"/>
    <w:rsid w:val="007A0B66"/>
    <w:rsid w:val="007A0B81"/>
    <w:rsid w:val="007A0F62"/>
    <w:rsid w:val="007A118B"/>
    <w:rsid w:val="007A1565"/>
    <w:rsid w:val="007A1996"/>
    <w:rsid w:val="007A1CD6"/>
    <w:rsid w:val="007A1FD4"/>
    <w:rsid w:val="007A3106"/>
    <w:rsid w:val="007A32AF"/>
    <w:rsid w:val="007A3856"/>
    <w:rsid w:val="007A3D3E"/>
    <w:rsid w:val="007A4CEE"/>
    <w:rsid w:val="007A521D"/>
    <w:rsid w:val="007A5281"/>
    <w:rsid w:val="007A5385"/>
    <w:rsid w:val="007A58C8"/>
    <w:rsid w:val="007A59DF"/>
    <w:rsid w:val="007A6044"/>
    <w:rsid w:val="007A6165"/>
    <w:rsid w:val="007A62F4"/>
    <w:rsid w:val="007A6581"/>
    <w:rsid w:val="007A6617"/>
    <w:rsid w:val="007A6696"/>
    <w:rsid w:val="007A6B92"/>
    <w:rsid w:val="007A6EB1"/>
    <w:rsid w:val="007A75BD"/>
    <w:rsid w:val="007A7836"/>
    <w:rsid w:val="007A798F"/>
    <w:rsid w:val="007B046F"/>
    <w:rsid w:val="007B11FE"/>
    <w:rsid w:val="007B197E"/>
    <w:rsid w:val="007B1CBF"/>
    <w:rsid w:val="007B1DD2"/>
    <w:rsid w:val="007B251E"/>
    <w:rsid w:val="007B263E"/>
    <w:rsid w:val="007B2D65"/>
    <w:rsid w:val="007B33DA"/>
    <w:rsid w:val="007B3D49"/>
    <w:rsid w:val="007B46BE"/>
    <w:rsid w:val="007B46E9"/>
    <w:rsid w:val="007B4827"/>
    <w:rsid w:val="007B4893"/>
    <w:rsid w:val="007B4CDE"/>
    <w:rsid w:val="007B64FA"/>
    <w:rsid w:val="007B666D"/>
    <w:rsid w:val="007B7146"/>
    <w:rsid w:val="007B720C"/>
    <w:rsid w:val="007B7755"/>
    <w:rsid w:val="007B7935"/>
    <w:rsid w:val="007B7C1C"/>
    <w:rsid w:val="007C01EF"/>
    <w:rsid w:val="007C02A9"/>
    <w:rsid w:val="007C04E4"/>
    <w:rsid w:val="007C0615"/>
    <w:rsid w:val="007C0D44"/>
    <w:rsid w:val="007C1778"/>
    <w:rsid w:val="007C257D"/>
    <w:rsid w:val="007C2788"/>
    <w:rsid w:val="007C3499"/>
    <w:rsid w:val="007C393F"/>
    <w:rsid w:val="007C4330"/>
    <w:rsid w:val="007C4760"/>
    <w:rsid w:val="007C47C7"/>
    <w:rsid w:val="007C5119"/>
    <w:rsid w:val="007C578F"/>
    <w:rsid w:val="007C589E"/>
    <w:rsid w:val="007C5C26"/>
    <w:rsid w:val="007C5EDF"/>
    <w:rsid w:val="007C604D"/>
    <w:rsid w:val="007C68F8"/>
    <w:rsid w:val="007C6B6E"/>
    <w:rsid w:val="007C6D69"/>
    <w:rsid w:val="007C79BB"/>
    <w:rsid w:val="007C7CD8"/>
    <w:rsid w:val="007D0AC1"/>
    <w:rsid w:val="007D0B89"/>
    <w:rsid w:val="007D0D85"/>
    <w:rsid w:val="007D0F5D"/>
    <w:rsid w:val="007D1850"/>
    <w:rsid w:val="007D20AB"/>
    <w:rsid w:val="007D2D7F"/>
    <w:rsid w:val="007D2E29"/>
    <w:rsid w:val="007D2EC0"/>
    <w:rsid w:val="007D362A"/>
    <w:rsid w:val="007D3A8F"/>
    <w:rsid w:val="007D3CD8"/>
    <w:rsid w:val="007D4272"/>
    <w:rsid w:val="007D43FA"/>
    <w:rsid w:val="007D44EB"/>
    <w:rsid w:val="007D457E"/>
    <w:rsid w:val="007D45D3"/>
    <w:rsid w:val="007D4883"/>
    <w:rsid w:val="007D4B8D"/>
    <w:rsid w:val="007D4E07"/>
    <w:rsid w:val="007D5A8A"/>
    <w:rsid w:val="007D6415"/>
    <w:rsid w:val="007D6433"/>
    <w:rsid w:val="007D6792"/>
    <w:rsid w:val="007D69BE"/>
    <w:rsid w:val="007D6F69"/>
    <w:rsid w:val="007D77F0"/>
    <w:rsid w:val="007D7B5F"/>
    <w:rsid w:val="007E074D"/>
    <w:rsid w:val="007E0789"/>
    <w:rsid w:val="007E09D4"/>
    <w:rsid w:val="007E1136"/>
    <w:rsid w:val="007E1B59"/>
    <w:rsid w:val="007E25C1"/>
    <w:rsid w:val="007E2987"/>
    <w:rsid w:val="007E2FE5"/>
    <w:rsid w:val="007E3228"/>
    <w:rsid w:val="007E371F"/>
    <w:rsid w:val="007E39E5"/>
    <w:rsid w:val="007E3A7A"/>
    <w:rsid w:val="007E3C3E"/>
    <w:rsid w:val="007E4098"/>
    <w:rsid w:val="007E4176"/>
    <w:rsid w:val="007E4178"/>
    <w:rsid w:val="007E479A"/>
    <w:rsid w:val="007E49F1"/>
    <w:rsid w:val="007E4BAE"/>
    <w:rsid w:val="007E4D3F"/>
    <w:rsid w:val="007E4FA4"/>
    <w:rsid w:val="007E5430"/>
    <w:rsid w:val="007E57EA"/>
    <w:rsid w:val="007E6A4D"/>
    <w:rsid w:val="007E6B02"/>
    <w:rsid w:val="007E6B23"/>
    <w:rsid w:val="007E6BB8"/>
    <w:rsid w:val="007E6D90"/>
    <w:rsid w:val="007E76B8"/>
    <w:rsid w:val="007E7A8D"/>
    <w:rsid w:val="007F0167"/>
    <w:rsid w:val="007F02D0"/>
    <w:rsid w:val="007F0506"/>
    <w:rsid w:val="007F085A"/>
    <w:rsid w:val="007F15B0"/>
    <w:rsid w:val="007F18E9"/>
    <w:rsid w:val="007F2294"/>
    <w:rsid w:val="007F27D6"/>
    <w:rsid w:val="007F2AEF"/>
    <w:rsid w:val="007F2DCF"/>
    <w:rsid w:val="007F2EEE"/>
    <w:rsid w:val="007F3552"/>
    <w:rsid w:val="007F360D"/>
    <w:rsid w:val="007F37D0"/>
    <w:rsid w:val="007F38DF"/>
    <w:rsid w:val="007F3DE4"/>
    <w:rsid w:val="007F4928"/>
    <w:rsid w:val="007F4956"/>
    <w:rsid w:val="007F4971"/>
    <w:rsid w:val="007F560B"/>
    <w:rsid w:val="007F5700"/>
    <w:rsid w:val="007F6057"/>
    <w:rsid w:val="007F62C9"/>
    <w:rsid w:val="007F64B9"/>
    <w:rsid w:val="007F74F3"/>
    <w:rsid w:val="007F7615"/>
    <w:rsid w:val="007F7B31"/>
    <w:rsid w:val="007F7C69"/>
    <w:rsid w:val="007F7E24"/>
    <w:rsid w:val="00800035"/>
    <w:rsid w:val="0080066F"/>
    <w:rsid w:val="0080092D"/>
    <w:rsid w:val="0080096A"/>
    <w:rsid w:val="00800B17"/>
    <w:rsid w:val="00800C6D"/>
    <w:rsid w:val="00801002"/>
    <w:rsid w:val="00801274"/>
    <w:rsid w:val="008012B9"/>
    <w:rsid w:val="008012D5"/>
    <w:rsid w:val="008018D2"/>
    <w:rsid w:val="008032AF"/>
    <w:rsid w:val="008034E1"/>
    <w:rsid w:val="00803B80"/>
    <w:rsid w:val="00803BAF"/>
    <w:rsid w:val="008042BB"/>
    <w:rsid w:val="008042F4"/>
    <w:rsid w:val="0080458A"/>
    <w:rsid w:val="0080504C"/>
    <w:rsid w:val="0080604B"/>
    <w:rsid w:val="00806680"/>
    <w:rsid w:val="00806837"/>
    <w:rsid w:val="00807634"/>
    <w:rsid w:val="00807BAA"/>
    <w:rsid w:val="00810206"/>
    <w:rsid w:val="008102F5"/>
    <w:rsid w:val="00810ACE"/>
    <w:rsid w:val="00810ADC"/>
    <w:rsid w:val="00810BDB"/>
    <w:rsid w:val="00810C38"/>
    <w:rsid w:val="00810F7A"/>
    <w:rsid w:val="00811115"/>
    <w:rsid w:val="0081118B"/>
    <w:rsid w:val="008116B2"/>
    <w:rsid w:val="00811B87"/>
    <w:rsid w:val="00811F81"/>
    <w:rsid w:val="00812346"/>
    <w:rsid w:val="008124A1"/>
    <w:rsid w:val="00812541"/>
    <w:rsid w:val="0081261F"/>
    <w:rsid w:val="00812B9F"/>
    <w:rsid w:val="00813094"/>
    <w:rsid w:val="00813418"/>
    <w:rsid w:val="00813D8F"/>
    <w:rsid w:val="00813DAC"/>
    <w:rsid w:val="00813F18"/>
    <w:rsid w:val="00814104"/>
    <w:rsid w:val="0081462C"/>
    <w:rsid w:val="008148B0"/>
    <w:rsid w:val="00814B52"/>
    <w:rsid w:val="0081543C"/>
    <w:rsid w:val="008154A3"/>
    <w:rsid w:val="00815900"/>
    <w:rsid w:val="00815D8F"/>
    <w:rsid w:val="008160CA"/>
    <w:rsid w:val="008161E8"/>
    <w:rsid w:val="008169DB"/>
    <w:rsid w:val="00816A71"/>
    <w:rsid w:val="008178E2"/>
    <w:rsid w:val="00817B96"/>
    <w:rsid w:val="00817D47"/>
    <w:rsid w:val="00817E96"/>
    <w:rsid w:val="00817EAE"/>
    <w:rsid w:val="00820147"/>
    <w:rsid w:val="00820262"/>
    <w:rsid w:val="0082044A"/>
    <w:rsid w:val="008204FC"/>
    <w:rsid w:val="008213FD"/>
    <w:rsid w:val="008215DB"/>
    <w:rsid w:val="008217C9"/>
    <w:rsid w:val="00821B1D"/>
    <w:rsid w:val="00821B44"/>
    <w:rsid w:val="00821B54"/>
    <w:rsid w:val="00821EEE"/>
    <w:rsid w:val="00822B30"/>
    <w:rsid w:val="00822DDF"/>
    <w:rsid w:val="00823784"/>
    <w:rsid w:val="0082381C"/>
    <w:rsid w:val="00823847"/>
    <w:rsid w:val="00823908"/>
    <w:rsid w:val="008246D3"/>
    <w:rsid w:val="0082489D"/>
    <w:rsid w:val="00824A35"/>
    <w:rsid w:val="0082502C"/>
    <w:rsid w:val="008254D8"/>
    <w:rsid w:val="00825D64"/>
    <w:rsid w:val="00825DAF"/>
    <w:rsid w:val="00825E3D"/>
    <w:rsid w:val="0082672E"/>
    <w:rsid w:val="00826C09"/>
    <w:rsid w:val="00827159"/>
    <w:rsid w:val="0082746F"/>
    <w:rsid w:val="008275A1"/>
    <w:rsid w:val="00827B6A"/>
    <w:rsid w:val="00827C7A"/>
    <w:rsid w:val="00827CAD"/>
    <w:rsid w:val="00830155"/>
    <w:rsid w:val="0083060F"/>
    <w:rsid w:val="00830627"/>
    <w:rsid w:val="008307EA"/>
    <w:rsid w:val="00830B37"/>
    <w:rsid w:val="00830B62"/>
    <w:rsid w:val="00830CB8"/>
    <w:rsid w:val="00830FDC"/>
    <w:rsid w:val="00831784"/>
    <w:rsid w:val="00831A3A"/>
    <w:rsid w:val="00831D69"/>
    <w:rsid w:val="008324A4"/>
    <w:rsid w:val="008326A1"/>
    <w:rsid w:val="008326CB"/>
    <w:rsid w:val="00832C74"/>
    <w:rsid w:val="00833A6B"/>
    <w:rsid w:val="00833C5A"/>
    <w:rsid w:val="008346EB"/>
    <w:rsid w:val="00834857"/>
    <w:rsid w:val="00834D25"/>
    <w:rsid w:val="00835149"/>
    <w:rsid w:val="008355FF"/>
    <w:rsid w:val="008359BF"/>
    <w:rsid w:val="00835CCA"/>
    <w:rsid w:val="00836183"/>
    <w:rsid w:val="0083687C"/>
    <w:rsid w:val="0083694E"/>
    <w:rsid w:val="00836C59"/>
    <w:rsid w:val="00836F05"/>
    <w:rsid w:val="0083767F"/>
    <w:rsid w:val="00837738"/>
    <w:rsid w:val="00837C51"/>
    <w:rsid w:val="008405BF"/>
    <w:rsid w:val="00840E13"/>
    <w:rsid w:val="00841294"/>
    <w:rsid w:val="00841562"/>
    <w:rsid w:val="008417CB"/>
    <w:rsid w:val="008419E6"/>
    <w:rsid w:val="00841D61"/>
    <w:rsid w:val="00841D69"/>
    <w:rsid w:val="00841E4A"/>
    <w:rsid w:val="00842556"/>
    <w:rsid w:val="008425C1"/>
    <w:rsid w:val="00842D7B"/>
    <w:rsid w:val="00842D84"/>
    <w:rsid w:val="00843085"/>
    <w:rsid w:val="008433A8"/>
    <w:rsid w:val="00843569"/>
    <w:rsid w:val="00843704"/>
    <w:rsid w:val="008437BA"/>
    <w:rsid w:val="00843C9E"/>
    <w:rsid w:val="00843FE3"/>
    <w:rsid w:val="00843FFF"/>
    <w:rsid w:val="00844EBE"/>
    <w:rsid w:val="00844EE3"/>
    <w:rsid w:val="0084566D"/>
    <w:rsid w:val="0084568C"/>
    <w:rsid w:val="00845867"/>
    <w:rsid w:val="00845BDF"/>
    <w:rsid w:val="00845BE5"/>
    <w:rsid w:val="00845E05"/>
    <w:rsid w:val="00845E7A"/>
    <w:rsid w:val="008465C0"/>
    <w:rsid w:val="00846A94"/>
    <w:rsid w:val="00847436"/>
    <w:rsid w:val="00847448"/>
    <w:rsid w:val="00850455"/>
    <w:rsid w:val="00850655"/>
    <w:rsid w:val="00850684"/>
    <w:rsid w:val="00850E11"/>
    <w:rsid w:val="008516DE"/>
    <w:rsid w:val="00851ACD"/>
    <w:rsid w:val="00851C90"/>
    <w:rsid w:val="00851E0A"/>
    <w:rsid w:val="00852019"/>
    <w:rsid w:val="008521BF"/>
    <w:rsid w:val="008522DB"/>
    <w:rsid w:val="00852359"/>
    <w:rsid w:val="008523E1"/>
    <w:rsid w:val="00852445"/>
    <w:rsid w:val="008527CE"/>
    <w:rsid w:val="00853458"/>
    <w:rsid w:val="00853C8A"/>
    <w:rsid w:val="00854384"/>
    <w:rsid w:val="00854AA2"/>
    <w:rsid w:val="008553C8"/>
    <w:rsid w:val="008556B9"/>
    <w:rsid w:val="0085595E"/>
    <w:rsid w:val="00855CEF"/>
    <w:rsid w:val="00855D25"/>
    <w:rsid w:val="00856316"/>
    <w:rsid w:val="0085632D"/>
    <w:rsid w:val="0085686B"/>
    <w:rsid w:val="00856A88"/>
    <w:rsid w:val="00857071"/>
    <w:rsid w:val="0085728C"/>
    <w:rsid w:val="008576C5"/>
    <w:rsid w:val="0085784A"/>
    <w:rsid w:val="00857F61"/>
    <w:rsid w:val="0086049B"/>
    <w:rsid w:val="00860690"/>
    <w:rsid w:val="00860708"/>
    <w:rsid w:val="00861142"/>
    <w:rsid w:val="008619FB"/>
    <w:rsid w:val="00861A46"/>
    <w:rsid w:val="00861A86"/>
    <w:rsid w:val="00861BED"/>
    <w:rsid w:val="00861F82"/>
    <w:rsid w:val="0086242A"/>
    <w:rsid w:val="0086246C"/>
    <w:rsid w:val="008626B9"/>
    <w:rsid w:val="00862F0E"/>
    <w:rsid w:val="00862F25"/>
    <w:rsid w:val="00863091"/>
    <w:rsid w:val="00863160"/>
    <w:rsid w:val="00863D1F"/>
    <w:rsid w:val="008648B1"/>
    <w:rsid w:val="00864F49"/>
    <w:rsid w:val="00865B64"/>
    <w:rsid w:val="00865F4A"/>
    <w:rsid w:val="0086603D"/>
    <w:rsid w:val="008663D8"/>
    <w:rsid w:val="00866DF9"/>
    <w:rsid w:val="008677A7"/>
    <w:rsid w:val="008703ED"/>
    <w:rsid w:val="00870AD6"/>
    <w:rsid w:val="00871034"/>
    <w:rsid w:val="008713BE"/>
    <w:rsid w:val="00871F83"/>
    <w:rsid w:val="00872977"/>
    <w:rsid w:val="00872A4A"/>
    <w:rsid w:val="00872D24"/>
    <w:rsid w:val="008738D7"/>
    <w:rsid w:val="00875843"/>
    <w:rsid w:val="00875E17"/>
    <w:rsid w:val="00875F5B"/>
    <w:rsid w:val="00877051"/>
    <w:rsid w:val="008777A2"/>
    <w:rsid w:val="008778F6"/>
    <w:rsid w:val="008779DC"/>
    <w:rsid w:val="00877DC6"/>
    <w:rsid w:val="00877EC7"/>
    <w:rsid w:val="00877F38"/>
    <w:rsid w:val="00877F59"/>
    <w:rsid w:val="00880D8F"/>
    <w:rsid w:val="00880DDA"/>
    <w:rsid w:val="00881285"/>
    <w:rsid w:val="00881C74"/>
    <w:rsid w:val="00881DC8"/>
    <w:rsid w:val="00882298"/>
    <w:rsid w:val="008829AA"/>
    <w:rsid w:val="008844ED"/>
    <w:rsid w:val="00884AE4"/>
    <w:rsid w:val="00884C8A"/>
    <w:rsid w:val="00884FB1"/>
    <w:rsid w:val="0088522A"/>
    <w:rsid w:val="008853A9"/>
    <w:rsid w:val="00885C8D"/>
    <w:rsid w:val="008860A6"/>
    <w:rsid w:val="0088644C"/>
    <w:rsid w:val="00886611"/>
    <w:rsid w:val="0088696F"/>
    <w:rsid w:val="00886989"/>
    <w:rsid w:val="00886A43"/>
    <w:rsid w:val="00886C67"/>
    <w:rsid w:val="008870DF"/>
    <w:rsid w:val="00887163"/>
    <w:rsid w:val="0088793C"/>
    <w:rsid w:val="008879C9"/>
    <w:rsid w:val="00887A08"/>
    <w:rsid w:val="0089040E"/>
    <w:rsid w:val="00890497"/>
    <w:rsid w:val="00890AD0"/>
    <w:rsid w:val="00890BB3"/>
    <w:rsid w:val="008910B1"/>
    <w:rsid w:val="008910F2"/>
    <w:rsid w:val="0089186C"/>
    <w:rsid w:val="00891BC0"/>
    <w:rsid w:val="00891EB8"/>
    <w:rsid w:val="0089208C"/>
    <w:rsid w:val="00892344"/>
    <w:rsid w:val="0089247D"/>
    <w:rsid w:val="00892D3D"/>
    <w:rsid w:val="0089364C"/>
    <w:rsid w:val="0089411A"/>
    <w:rsid w:val="008944F2"/>
    <w:rsid w:val="0089456B"/>
    <w:rsid w:val="008947C9"/>
    <w:rsid w:val="0089488D"/>
    <w:rsid w:val="00895066"/>
    <w:rsid w:val="0089508F"/>
    <w:rsid w:val="008951AE"/>
    <w:rsid w:val="00895343"/>
    <w:rsid w:val="00895BC3"/>
    <w:rsid w:val="00896122"/>
    <w:rsid w:val="0089627A"/>
    <w:rsid w:val="0089675A"/>
    <w:rsid w:val="00897CB5"/>
    <w:rsid w:val="00897CFA"/>
    <w:rsid w:val="00897D7B"/>
    <w:rsid w:val="00897DAD"/>
    <w:rsid w:val="00897FF1"/>
    <w:rsid w:val="008A0273"/>
    <w:rsid w:val="008A0532"/>
    <w:rsid w:val="008A083A"/>
    <w:rsid w:val="008A1933"/>
    <w:rsid w:val="008A237D"/>
    <w:rsid w:val="008A277D"/>
    <w:rsid w:val="008A2A59"/>
    <w:rsid w:val="008A2B5E"/>
    <w:rsid w:val="008A2BEC"/>
    <w:rsid w:val="008A2E98"/>
    <w:rsid w:val="008A2F88"/>
    <w:rsid w:val="008A38A1"/>
    <w:rsid w:val="008A3C19"/>
    <w:rsid w:val="008A3C26"/>
    <w:rsid w:val="008A41B2"/>
    <w:rsid w:val="008A41C8"/>
    <w:rsid w:val="008A42B6"/>
    <w:rsid w:val="008A4324"/>
    <w:rsid w:val="008A4580"/>
    <w:rsid w:val="008A485B"/>
    <w:rsid w:val="008A4B5A"/>
    <w:rsid w:val="008A4EA1"/>
    <w:rsid w:val="008A5380"/>
    <w:rsid w:val="008A6639"/>
    <w:rsid w:val="008A67AC"/>
    <w:rsid w:val="008A6970"/>
    <w:rsid w:val="008A6C93"/>
    <w:rsid w:val="008A6DEE"/>
    <w:rsid w:val="008A6E1F"/>
    <w:rsid w:val="008A77C8"/>
    <w:rsid w:val="008A77F9"/>
    <w:rsid w:val="008A7F65"/>
    <w:rsid w:val="008B0421"/>
    <w:rsid w:val="008B10B7"/>
    <w:rsid w:val="008B1BF8"/>
    <w:rsid w:val="008B1C8E"/>
    <w:rsid w:val="008B1E50"/>
    <w:rsid w:val="008B2C0A"/>
    <w:rsid w:val="008B3452"/>
    <w:rsid w:val="008B353A"/>
    <w:rsid w:val="008B4DE3"/>
    <w:rsid w:val="008B5ABB"/>
    <w:rsid w:val="008B5DE6"/>
    <w:rsid w:val="008B6004"/>
    <w:rsid w:val="008B6B5B"/>
    <w:rsid w:val="008B6DF2"/>
    <w:rsid w:val="008B72A8"/>
    <w:rsid w:val="008B7500"/>
    <w:rsid w:val="008B7822"/>
    <w:rsid w:val="008B7E0D"/>
    <w:rsid w:val="008B7F01"/>
    <w:rsid w:val="008B7F81"/>
    <w:rsid w:val="008B7FCE"/>
    <w:rsid w:val="008C0093"/>
    <w:rsid w:val="008C0E27"/>
    <w:rsid w:val="008C0E9F"/>
    <w:rsid w:val="008C1805"/>
    <w:rsid w:val="008C1929"/>
    <w:rsid w:val="008C26A1"/>
    <w:rsid w:val="008C26B5"/>
    <w:rsid w:val="008C27B3"/>
    <w:rsid w:val="008C2C92"/>
    <w:rsid w:val="008C3BF3"/>
    <w:rsid w:val="008C3F6B"/>
    <w:rsid w:val="008C46DE"/>
    <w:rsid w:val="008C47AF"/>
    <w:rsid w:val="008C47DE"/>
    <w:rsid w:val="008C4B18"/>
    <w:rsid w:val="008C4DAC"/>
    <w:rsid w:val="008C54DC"/>
    <w:rsid w:val="008C5725"/>
    <w:rsid w:val="008C581E"/>
    <w:rsid w:val="008C5E4E"/>
    <w:rsid w:val="008C7428"/>
    <w:rsid w:val="008C76A7"/>
    <w:rsid w:val="008C7914"/>
    <w:rsid w:val="008C79F8"/>
    <w:rsid w:val="008D01A3"/>
    <w:rsid w:val="008D081F"/>
    <w:rsid w:val="008D0964"/>
    <w:rsid w:val="008D0A30"/>
    <w:rsid w:val="008D0FBF"/>
    <w:rsid w:val="008D0FD6"/>
    <w:rsid w:val="008D1059"/>
    <w:rsid w:val="008D1B67"/>
    <w:rsid w:val="008D1C70"/>
    <w:rsid w:val="008D308D"/>
    <w:rsid w:val="008D329B"/>
    <w:rsid w:val="008D34EB"/>
    <w:rsid w:val="008D3709"/>
    <w:rsid w:val="008D3B41"/>
    <w:rsid w:val="008D3DB0"/>
    <w:rsid w:val="008D42F3"/>
    <w:rsid w:val="008D4318"/>
    <w:rsid w:val="008D47A4"/>
    <w:rsid w:val="008D496A"/>
    <w:rsid w:val="008D5121"/>
    <w:rsid w:val="008D5414"/>
    <w:rsid w:val="008D61EB"/>
    <w:rsid w:val="008D624F"/>
    <w:rsid w:val="008D676C"/>
    <w:rsid w:val="008D6847"/>
    <w:rsid w:val="008D6E87"/>
    <w:rsid w:val="008D7545"/>
    <w:rsid w:val="008D7B82"/>
    <w:rsid w:val="008E03D4"/>
    <w:rsid w:val="008E0A10"/>
    <w:rsid w:val="008E14A1"/>
    <w:rsid w:val="008E1574"/>
    <w:rsid w:val="008E17DA"/>
    <w:rsid w:val="008E1C17"/>
    <w:rsid w:val="008E1E26"/>
    <w:rsid w:val="008E2753"/>
    <w:rsid w:val="008E27DC"/>
    <w:rsid w:val="008E2859"/>
    <w:rsid w:val="008E2EE7"/>
    <w:rsid w:val="008E32AF"/>
    <w:rsid w:val="008E3CC6"/>
    <w:rsid w:val="008E49E0"/>
    <w:rsid w:val="008E51BB"/>
    <w:rsid w:val="008E5473"/>
    <w:rsid w:val="008E551D"/>
    <w:rsid w:val="008E5671"/>
    <w:rsid w:val="008E62E1"/>
    <w:rsid w:val="008E6365"/>
    <w:rsid w:val="008E6E59"/>
    <w:rsid w:val="008E741C"/>
    <w:rsid w:val="008E7672"/>
    <w:rsid w:val="008F093F"/>
    <w:rsid w:val="008F0AC3"/>
    <w:rsid w:val="008F117A"/>
    <w:rsid w:val="008F1255"/>
    <w:rsid w:val="008F1371"/>
    <w:rsid w:val="008F1751"/>
    <w:rsid w:val="008F26C9"/>
    <w:rsid w:val="008F2E7A"/>
    <w:rsid w:val="008F32C9"/>
    <w:rsid w:val="008F3974"/>
    <w:rsid w:val="008F4246"/>
    <w:rsid w:val="008F441B"/>
    <w:rsid w:val="008F4749"/>
    <w:rsid w:val="008F4A56"/>
    <w:rsid w:val="008F4AC4"/>
    <w:rsid w:val="008F4B68"/>
    <w:rsid w:val="008F4CB8"/>
    <w:rsid w:val="008F551A"/>
    <w:rsid w:val="008F5DA8"/>
    <w:rsid w:val="008F62D2"/>
    <w:rsid w:val="008F6CBF"/>
    <w:rsid w:val="008F7893"/>
    <w:rsid w:val="009008B2"/>
    <w:rsid w:val="00901706"/>
    <w:rsid w:val="00901993"/>
    <w:rsid w:val="00901ACF"/>
    <w:rsid w:val="00902456"/>
    <w:rsid w:val="00902804"/>
    <w:rsid w:val="00902F53"/>
    <w:rsid w:val="00903121"/>
    <w:rsid w:val="009033F2"/>
    <w:rsid w:val="009034AB"/>
    <w:rsid w:val="0090365D"/>
    <w:rsid w:val="009046A8"/>
    <w:rsid w:val="00904B25"/>
    <w:rsid w:val="00905134"/>
    <w:rsid w:val="00905236"/>
    <w:rsid w:val="00905A1C"/>
    <w:rsid w:val="00905AF1"/>
    <w:rsid w:val="009064C0"/>
    <w:rsid w:val="009074C3"/>
    <w:rsid w:val="00907501"/>
    <w:rsid w:val="009076A6"/>
    <w:rsid w:val="00907DCE"/>
    <w:rsid w:val="00907E79"/>
    <w:rsid w:val="00910720"/>
    <w:rsid w:val="009109A3"/>
    <w:rsid w:val="00910A45"/>
    <w:rsid w:val="00910FB4"/>
    <w:rsid w:val="0091114C"/>
    <w:rsid w:val="0091190E"/>
    <w:rsid w:val="00911CD0"/>
    <w:rsid w:val="00912CA9"/>
    <w:rsid w:val="00912E39"/>
    <w:rsid w:val="0091300B"/>
    <w:rsid w:val="0091339B"/>
    <w:rsid w:val="009139F0"/>
    <w:rsid w:val="009142CC"/>
    <w:rsid w:val="00914449"/>
    <w:rsid w:val="0091475A"/>
    <w:rsid w:val="00914CFA"/>
    <w:rsid w:val="009153D6"/>
    <w:rsid w:val="00915687"/>
    <w:rsid w:val="009156E2"/>
    <w:rsid w:val="00915A21"/>
    <w:rsid w:val="00915CCA"/>
    <w:rsid w:val="009164B4"/>
    <w:rsid w:val="009166C5"/>
    <w:rsid w:val="009168ED"/>
    <w:rsid w:val="00916E29"/>
    <w:rsid w:val="00917538"/>
    <w:rsid w:val="0091760E"/>
    <w:rsid w:val="00917704"/>
    <w:rsid w:val="00917FF7"/>
    <w:rsid w:val="00920840"/>
    <w:rsid w:val="0092096C"/>
    <w:rsid w:val="00920D14"/>
    <w:rsid w:val="00921373"/>
    <w:rsid w:val="00921532"/>
    <w:rsid w:val="00921936"/>
    <w:rsid w:val="00921AA8"/>
    <w:rsid w:val="009229B3"/>
    <w:rsid w:val="00922A23"/>
    <w:rsid w:val="009231F4"/>
    <w:rsid w:val="00923595"/>
    <w:rsid w:val="00923781"/>
    <w:rsid w:val="00923D7B"/>
    <w:rsid w:val="009240DB"/>
    <w:rsid w:val="00924428"/>
    <w:rsid w:val="00924BC3"/>
    <w:rsid w:val="009250E9"/>
    <w:rsid w:val="00925422"/>
    <w:rsid w:val="00925695"/>
    <w:rsid w:val="009256CD"/>
    <w:rsid w:val="00925AF3"/>
    <w:rsid w:val="00925B24"/>
    <w:rsid w:val="00925D85"/>
    <w:rsid w:val="0092698A"/>
    <w:rsid w:val="009273B6"/>
    <w:rsid w:val="00927C8C"/>
    <w:rsid w:val="009301E5"/>
    <w:rsid w:val="0093057F"/>
    <w:rsid w:val="0093134B"/>
    <w:rsid w:val="00931439"/>
    <w:rsid w:val="00931AD1"/>
    <w:rsid w:val="00931AF0"/>
    <w:rsid w:val="009323E2"/>
    <w:rsid w:val="009324AC"/>
    <w:rsid w:val="009326C6"/>
    <w:rsid w:val="009329CF"/>
    <w:rsid w:val="00932E64"/>
    <w:rsid w:val="0093307E"/>
    <w:rsid w:val="0093379B"/>
    <w:rsid w:val="00933803"/>
    <w:rsid w:val="0093381F"/>
    <w:rsid w:val="00933B36"/>
    <w:rsid w:val="00933CEA"/>
    <w:rsid w:val="00933F16"/>
    <w:rsid w:val="009348D0"/>
    <w:rsid w:val="00934AA8"/>
    <w:rsid w:val="00934B53"/>
    <w:rsid w:val="00934BEE"/>
    <w:rsid w:val="00934D4D"/>
    <w:rsid w:val="009357D1"/>
    <w:rsid w:val="00935950"/>
    <w:rsid w:val="00936D32"/>
    <w:rsid w:val="00936FC3"/>
    <w:rsid w:val="00937125"/>
    <w:rsid w:val="0093739F"/>
    <w:rsid w:val="009379FC"/>
    <w:rsid w:val="00937B46"/>
    <w:rsid w:val="00937C59"/>
    <w:rsid w:val="00937E9D"/>
    <w:rsid w:val="00940992"/>
    <w:rsid w:val="00940A49"/>
    <w:rsid w:val="00940F87"/>
    <w:rsid w:val="0094112D"/>
    <w:rsid w:val="00941A41"/>
    <w:rsid w:val="00941A9D"/>
    <w:rsid w:val="00942AE5"/>
    <w:rsid w:val="00942DA4"/>
    <w:rsid w:val="00943A37"/>
    <w:rsid w:val="00943D62"/>
    <w:rsid w:val="00943E24"/>
    <w:rsid w:val="0094412D"/>
    <w:rsid w:val="00944697"/>
    <w:rsid w:val="00944BBA"/>
    <w:rsid w:val="00944EF3"/>
    <w:rsid w:val="009454D0"/>
    <w:rsid w:val="009459B8"/>
    <w:rsid w:val="00945C06"/>
    <w:rsid w:val="00946301"/>
    <w:rsid w:val="0094679A"/>
    <w:rsid w:val="00946893"/>
    <w:rsid w:val="00946D7A"/>
    <w:rsid w:val="00947098"/>
    <w:rsid w:val="0094785B"/>
    <w:rsid w:val="00947949"/>
    <w:rsid w:val="00947AD9"/>
    <w:rsid w:val="00947BF1"/>
    <w:rsid w:val="00947CD5"/>
    <w:rsid w:val="009502B3"/>
    <w:rsid w:val="00950403"/>
    <w:rsid w:val="0095082F"/>
    <w:rsid w:val="00950C9F"/>
    <w:rsid w:val="00950DF6"/>
    <w:rsid w:val="00951009"/>
    <w:rsid w:val="00951794"/>
    <w:rsid w:val="00951B23"/>
    <w:rsid w:val="00951FB3"/>
    <w:rsid w:val="00951FDF"/>
    <w:rsid w:val="0095225B"/>
    <w:rsid w:val="00952294"/>
    <w:rsid w:val="009522B6"/>
    <w:rsid w:val="009524D3"/>
    <w:rsid w:val="0095325A"/>
    <w:rsid w:val="00953277"/>
    <w:rsid w:val="009533EB"/>
    <w:rsid w:val="0095362F"/>
    <w:rsid w:val="009539C3"/>
    <w:rsid w:val="00953B4D"/>
    <w:rsid w:val="00954662"/>
    <w:rsid w:val="00954C3A"/>
    <w:rsid w:val="00954D17"/>
    <w:rsid w:val="009555DD"/>
    <w:rsid w:val="00955A86"/>
    <w:rsid w:val="00955FA7"/>
    <w:rsid w:val="009563AB"/>
    <w:rsid w:val="009564EB"/>
    <w:rsid w:val="00957381"/>
    <w:rsid w:val="00957649"/>
    <w:rsid w:val="00957A1E"/>
    <w:rsid w:val="00957C2C"/>
    <w:rsid w:val="00957D84"/>
    <w:rsid w:val="00960734"/>
    <w:rsid w:val="00960C5D"/>
    <w:rsid w:val="00961640"/>
    <w:rsid w:val="009617A9"/>
    <w:rsid w:val="00961A34"/>
    <w:rsid w:val="00961C77"/>
    <w:rsid w:val="00961EAC"/>
    <w:rsid w:val="00961F3E"/>
    <w:rsid w:val="00962142"/>
    <w:rsid w:val="00962B18"/>
    <w:rsid w:val="00962CF8"/>
    <w:rsid w:val="009631D0"/>
    <w:rsid w:val="00963809"/>
    <w:rsid w:val="00963E90"/>
    <w:rsid w:val="00963F75"/>
    <w:rsid w:val="0096418F"/>
    <w:rsid w:val="009641F6"/>
    <w:rsid w:val="0096457E"/>
    <w:rsid w:val="009649F2"/>
    <w:rsid w:val="00964AEF"/>
    <w:rsid w:val="00965000"/>
    <w:rsid w:val="00965AC7"/>
    <w:rsid w:val="00965D13"/>
    <w:rsid w:val="00965F69"/>
    <w:rsid w:val="00966038"/>
    <w:rsid w:val="00966297"/>
    <w:rsid w:val="00966A93"/>
    <w:rsid w:val="00967738"/>
    <w:rsid w:val="00967F13"/>
    <w:rsid w:val="00970A15"/>
    <w:rsid w:val="00970A4F"/>
    <w:rsid w:val="00970ECC"/>
    <w:rsid w:val="009712AD"/>
    <w:rsid w:val="00971B4C"/>
    <w:rsid w:val="00971C6B"/>
    <w:rsid w:val="009720DA"/>
    <w:rsid w:val="00972E6A"/>
    <w:rsid w:val="00973389"/>
    <w:rsid w:val="009734AE"/>
    <w:rsid w:val="00973D0C"/>
    <w:rsid w:val="00973E14"/>
    <w:rsid w:val="009740BB"/>
    <w:rsid w:val="00974304"/>
    <w:rsid w:val="009748B6"/>
    <w:rsid w:val="00974B05"/>
    <w:rsid w:val="00974B9B"/>
    <w:rsid w:val="00974C5B"/>
    <w:rsid w:val="00974E32"/>
    <w:rsid w:val="0097500B"/>
    <w:rsid w:val="00975283"/>
    <w:rsid w:val="00975287"/>
    <w:rsid w:val="00975BC5"/>
    <w:rsid w:val="00977326"/>
    <w:rsid w:val="00977935"/>
    <w:rsid w:val="00977F29"/>
    <w:rsid w:val="0098026C"/>
    <w:rsid w:val="00980805"/>
    <w:rsid w:val="00980C62"/>
    <w:rsid w:val="00980F72"/>
    <w:rsid w:val="009810B9"/>
    <w:rsid w:val="009812FE"/>
    <w:rsid w:val="009824B1"/>
    <w:rsid w:val="009824B8"/>
    <w:rsid w:val="0098255C"/>
    <w:rsid w:val="0098266F"/>
    <w:rsid w:val="00982759"/>
    <w:rsid w:val="00982A45"/>
    <w:rsid w:val="00982AFE"/>
    <w:rsid w:val="00982EA7"/>
    <w:rsid w:val="00983573"/>
    <w:rsid w:val="009839E3"/>
    <w:rsid w:val="009839EF"/>
    <w:rsid w:val="00984781"/>
    <w:rsid w:val="009847A0"/>
    <w:rsid w:val="00984B6F"/>
    <w:rsid w:val="009852C8"/>
    <w:rsid w:val="009858AF"/>
    <w:rsid w:val="00985C23"/>
    <w:rsid w:val="00986682"/>
    <w:rsid w:val="00986A38"/>
    <w:rsid w:val="00987168"/>
    <w:rsid w:val="00987745"/>
    <w:rsid w:val="0098798C"/>
    <w:rsid w:val="00987B7D"/>
    <w:rsid w:val="009903C8"/>
    <w:rsid w:val="009906C4"/>
    <w:rsid w:val="009909E1"/>
    <w:rsid w:val="00990F7A"/>
    <w:rsid w:val="0099136E"/>
    <w:rsid w:val="00991A8E"/>
    <w:rsid w:val="00991AFC"/>
    <w:rsid w:val="00991B62"/>
    <w:rsid w:val="00991E0E"/>
    <w:rsid w:val="00992004"/>
    <w:rsid w:val="0099231E"/>
    <w:rsid w:val="0099237C"/>
    <w:rsid w:val="0099253E"/>
    <w:rsid w:val="00992A59"/>
    <w:rsid w:val="00992BF6"/>
    <w:rsid w:val="00993393"/>
    <w:rsid w:val="00993786"/>
    <w:rsid w:val="00993D61"/>
    <w:rsid w:val="00994149"/>
    <w:rsid w:val="00994173"/>
    <w:rsid w:val="009941AD"/>
    <w:rsid w:val="00994213"/>
    <w:rsid w:val="00994814"/>
    <w:rsid w:val="00995AE4"/>
    <w:rsid w:val="00995AEC"/>
    <w:rsid w:val="009960F5"/>
    <w:rsid w:val="00996691"/>
    <w:rsid w:val="0099678C"/>
    <w:rsid w:val="009A0AE2"/>
    <w:rsid w:val="009A0C86"/>
    <w:rsid w:val="009A10DA"/>
    <w:rsid w:val="009A1867"/>
    <w:rsid w:val="009A1BEB"/>
    <w:rsid w:val="009A1D3C"/>
    <w:rsid w:val="009A1FD6"/>
    <w:rsid w:val="009A2008"/>
    <w:rsid w:val="009A21BE"/>
    <w:rsid w:val="009A23DE"/>
    <w:rsid w:val="009A2B6E"/>
    <w:rsid w:val="009A3158"/>
    <w:rsid w:val="009A3256"/>
    <w:rsid w:val="009A3BB6"/>
    <w:rsid w:val="009A43FE"/>
    <w:rsid w:val="009A4C5C"/>
    <w:rsid w:val="009A53DB"/>
    <w:rsid w:val="009A6024"/>
    <w:rsid w:val="009A67A5"/>
    <w:rsid w:val="009A6AE4"/>
    <w:rsid w:val="009A6F89"/>
    <w:rsid w:val="009A71A6"/>
    <w:rsid w:val="009A7900"/>
    <w:rsid w:val="009A7A2A"/>
    <w:rsid w:val="009B04E7"/>
    <w:rsid w:val="009B0BC2"/>
    <w:rsid w:val="009B0D4E"/>
    <w:rsid w:val="009B18A7"/>
    <w:rsid w:val="009B1DB2"/>
    <w:rsid w:val="009B1F75"/>
    <w:rsid w:val="009B246B"/>
    <w:rsid w:val="009B279F"/>
    <w:rsid w:val="009B29AE"/>
    <w:rsid w:val="009B29B9"/>
    <w:rsid w:val="009B2C9D"/>
    <w:rsid w:val="009B33A2"/>
    <w:rsid w:val="009B3706"/>
    <w:rsid w:val="009B3B54"/>
    <w:rsid w:val="009B3BF3"/>
    <w:rsid w:val="009B3EFB"/>
    <w:rsid w:val="009B4231"/>
    <w:rsid w:val="009B43E3"/>
    <w:rsid w:val="009B4415"/>
    <w:rsid w:val="009B44B1"/>
    <w:rsid w:val="009B4763"/>
    <w:rsid w:val="009B49FA"/>
    <w:rsid w:val="009B5414"/>
    <w:rsid w:val="009B58A9"/>
    <w:rsid w:val="009B5A13"/>
    <w:rsid w:val="009B6183"/>
    <w:rsid w:val="009B64EF"/>
    <w:rsid w:val="009B65DF"/>
    <w:rsid w:val="009B6788"/>
    <w:rsid w:val="009B7401"/>
    <w:rsid w:val="009B756E"/>
    <w:rsid w:val="009B7993"/>
    <w:rsid w:val="009C0C15"/>
    <w:rsid w:val="009C23A3"/>
    <w:rsid w:val="009C2B20"/>
    <w:rsid w:val="009C2D99"/>
    <w:rsid w:val="009C2F39"/>
    <w:rsid w:val="009C3376"/>
    <w:rsid w:val="009C3584"/>
    <w:rsid w:val="009C3A55"/>
    <w:rsid w:val="009C3B55"/>
    <w:rsid w:val="009C3E82"/>
    <w:rsid w:val="009C4039"/>
    <w:rsid w:val="009C46DF"/>
    <w:rsid w:val="009C4F55"/>
    <w:rsid w:val="009C5068"/>
    <w:rsid w:val="009C5C39"/>
    <w:rsid w:val="009C5EF0"/>
    <w:rsid w:val="009C6581"/>
    <w:rsid w:val="009C6671"/>
    <w:rsid w:val="009C679D"/>
    <w:rsid w:val="009C6AE6"/>
    <w:rsid w:val="009C6B31"/>
    <w:rsid w:val="009C6B85"/>
    <w:rsid w:val="009C6F75"/>
    <w:rsid w:val="009C71B5"/>
    <w:rsid w:val="009C732F"/>
    <w:rsid w:val="009C7521"/>
    <w:rsid w:val="009C7617"/>
    <w:rsid w:val="009C79F2"/>
    <w:rsid w:val="009D0732"/>
    <w:rsid w:val="009D0C0E"/>
    <w:rsid w:val="009D2061"/>
    <w:rsid w:val="009D31DB"/>
    <w:rsid w:val="009D32CE"/>
    <w:rsid w:val="009D3424"/>
    <w:rsid w:val="009D37CA"/>
    <w:rsid w:val="009D3A09"/>
    <w:rsid w:val="009D44B9"/>
    <w:rsid w:val="009D45FD"/>
    <w:rsid w:val="009D52CE"/>
    <w:rsid w:val="009D5A68"/>
    <w:rsid w:val="009D5D06"/>
    <w:rsid w:val="009D6824"/>
    <w:rsid w:val="009D69E6"/>
    <w:rsid w:val="009D71D9"/>
    <w:rsid w:val="009D7506"/>
    <w:rsid w:val="009D796C"/>
    <w:rsid w:val="009D79AD"/>
    <w:rsid w:val="009D7C4D"/>
    <w:rsid w:val="009E03F6"/>
    <w:rsid w:val="009E0DD6"/>
    <w:rsid w:val="009E1000"/>
    <w:rsid w:val="009E18AA"/>
    <w:rsid w:val="009E1C45"/>
    <w:rsid w:val="009E1C95"/>
    <w:rsid w:val="009E2165"/>
    <w:rsid w:val="009E23CA"/>
    <w:rsid w:val="009E2484"/>
    <w:rsid w:val="009E26BD"/>
    <w:rsid w:val="009E2E0B"/>
    <w:rsid w:val="009E30EF"/>
    <w:rsid w:val="009E348D"/>
    <w:rsid w:val="009E3BAF"/>
    <w:rsid w:val="009E42C8"/>
    <w:rsid w:val="009E55B5"/>
    <w:rsid w:val="009E5A86"/>
    <w:rsid w:val="009E5BBF"/>
    <w:rsid w:val="009E5EA7"/>
    <w:rsid w:val="009E5EE4"/>
    <w:rsid w:val="009E63DA"/>
    <w:rsid w:val="009E685B"/>
    <w:rsid w:val="009E68D3"/>
    <w:rsid w:val="009E6F25"/>
    <w:rsid w:val="009E7B64"/>
    <w:rsid w:val="009F0337"/>
    <w:rsid w:val="009F0686"/>
    <w:rsid w:val="009F0BA7"/>
    <w:rsid w:val="009F0C44"/>
    <w:rsid w:val="009F1216"/>
    <w:rsid w:val="009F1284"/>
    <w:rsid w:val="009F1744"/>
    <w:rsid w:val="009F19CD"/>
    <w:rsid w:val="009F27D7"/>
    <w:rsid w:val="009F31D2"/>
    <w:rsid w:val="009F32FE"/>
    <w:rsid w:val="009F33CC"/>
    <w:rsid w:val="009F3CFE"/>
    <w:rsid w:val="009F43C4"/>
    <w:rsid w:val="009F49A8"/>
    <w:rsid w:val="009F5156"/>
    <w:rsid w:val="009F5604"/>
    <w:rsid w:val="009F57BF"/>
    <w:rsid w:val="009F5F0D"/>
    <w:rsid w:val="009F6300"/>
    <w:rsid w:val="009F6F20"/>
    <w:rsid w:val="009F6FA5"/>
    <w:rsid w:val="009F75CA"/>
    <w:rsid w:val="009F7BA1"/>
    <w:rsid w:val="00A00858"/>
    <w:rsid w:val="00A00BDD"/>
    <w:rsid w:val="00A00C74"/>
    <w:rsid w:val="00A013BC"/>
    <w:rsid w:val="00A015C3"/>
    <w:rsid w:val="00A0160C"/>
    <w:rsid w:val="00A02037"/>
    <w:rsid w:val="00A02363"/>
    <w:rsid w:val="00A02930"/>
    <w:rsid w:val="00A02E9E"/>
    <w:rsid w:val="00A0314B"/>
    <w:rsid w:val="00A0358F"/>
    <w:rsid w:val="00A035A4"/>
    <w:rsid w:val="00A03F2F"/>
    <w:rsid w:val="00A03F3F"/>
    <w:rsid w:val="00A04074"/>
    <w:rsid w:val="00A04279"/>
    <w:rsid w:val="00A04A72"/>
    <w:rsid w:val="00A05445"/>
    <w:rsid w:val="00A055EE"/>
    <w:rsid w:val="00A055F7"/>
    <w:rsid w:val="00A056A6"/>
    <w:rsid w:val="00A0606D"/>
    <w:rsid w:val="00A06A79"/>
    <w:rsid w:val="00A06C97"/>
    <w:rsid w:val="00A0708E"/>
    <w:rsid w:val="00A071EB"/>
    <w:rsid w:val="00A07213"/>
    <w:rsid w:val="00A07B45"/>
    <w:rsid w:val="00A07C19"/>
    <w:rsid w:val="00A07DA0"/>
    <w:rsid w:val="00A07E7E"/>
    <w:rsid w:val="00A1111D"/>
    <w:rsid w:val="00A118CB"/>
    <w:rsid w:val="00A126EB"/>
    <w:rsid w:val="00A12757"/>
    <w:rsid w:val="00A1279F"/>
    <w:rsid w:val="00A12D6E"/>
    <w:rsid w:val="00A13192"/>
    <w:rsid w:val="00A13645"/>
    <w:rsid w:val="00A14054"/>
    <w:rsid w:val="00A1442A"/>
    <w:rsid w:val="00A1476E"/>
    <w:rsid w:val="00A14977"/>
    <w:rsid w:val="00A14EBA"/>
    <w:rsid w:val="00A152AD"/>
    <w:rsid w:val="00A15866"/>
    <w:rsid w:val="00A16638"/>
    <w:rsid w:val="00A170C7"/>
    <w:rsid w:val="00A172C6"/>
    <w:rsid w:val="00A17BA2"/>
    <w:rsid w:val="00A2195B"/>
    <w:rsid w:val="00A21D5F"/>
    <w:rsid w:val="00A22E61"/>
    <w:rsid w:val="00A23233"/>
    <w:rsid w:val="00A23352"/>
    <w:rsid w:val="00A23FA0"/>
    <w:rsid w:val="00A2415F"/>
    <w:rsid w:val="00A24321"/>
    <w:rsid w:val="00A24686"/>
    <w:rsid w:val="00A24C70"/>
    <w:rsid w:val="00A25096"/>
    <w:rsid w:val="00A2563D"/>
    <w:rsid w:val="00A26225"/>
    <w:rsid w:val="00A2639B"/>
    <w:rsid w:val="00A2665D"/>
    <w:rsid w:val="00A27028"/>
    <w:rsid w:val="00A27183"/>
    <w:rsid w:val="00A2729A"/>
    <w:rsid w:val="00A27366"/>
    <w:rsid w:val="00A27931"/>
    <w:rsid w:val="00A27D56"/>
    <w:rsid w:val="00A30100"/>
    <w:rsid w:val="00A30741"/>
    <w:rsid w:val="00A312FE"/>
    <w:rsid w:val="00A314CD"/>
    <w:rsid w:val="00A31A84"/>
    <w:rsid w:val="00A31C89"/>
    <w:rsid w:val="00A31FF1"/>
    <w:rsid w:val="00A320BF"/>
    <w:rsid w:val="00A329E5"/>
    <w:rsid w:val="00A33091"/>
    <w:rsid w:val="00A33141"/>
    <w:rsid w:val="00A33539"/>
    <w:rsid w:val="00A33BF1"/>
    <w:rsid w:val="00A33D46"/>
    <w:rsid w:val="00A33EDD"/>
    <w:rsid w:val="00A33F34"/>
    <w:rsid w:val="00A3416D"/>
    <w:rsid w:val="00A341E3"/>
    <w:rsid w:val="00A347C3"/>
    <w:rsid w:val="00A34BC5"/>
    <w:rsid w:val="00A350E1"/>
    <w:rsid w:val="00A354D6"/>
    <w:rsid w:val="00A3665F"/>
    <w:rsid w:val="00A36D2E"/>
    <w:rsid w:val="00A37214"/>
    <w:rsid w:val="00A37254"/>
    <w:rsid w:val="00A37C7F"/>
    <w:rsid w:val="00A37E4C"/>
    <w:rsid w:val="00A37EC9"/>
    <w:rsid w:val="00A40F3C"/>
    <w:rsid w:val="00A4109B"/>
    <w:rsid w:val="00A426B5"/>
    <w:rsid w:val="00A42914"/>
    <w:rsid w:val="00A42E5C"/>
    <w:rsid w:val="00A4316F"/>
    <w:rsid w:val="00A4363E"/>
    <w:rsid w:val="00A43682"/>
    <w:rsid w:val="00A43A53"/>
    <w:rsid w:val="00A4477C"/>
    <w:rsid w:val="00A45F48"/>
    <w:rsid w:val="00A45FD0"/>
    <w:rsid w:val="00A4609A"/>
    <w:rsid w:val="00A46321"/>
    <w:rsid w:val="00A475EC"/>
    <w:rsid w:val="00A4793E"/>
    <w:rsid w:val="00A501C4"/>
    <w:rsid w:val="00A50CE3"/>
    <w:rsid w:val="00A5131B"/>
    <w:rsid w:val="00A51518"/>
    <w:rsid w:val="00A51BCB"/>
    <w:rsid w:val="00A51F1F"/>
    <w:rsid w:val="00A521B8"/>
    <w:rsid w:val="00A52269"/>
    <w:rsid w:val="00A52A8C"/>
    <w:rsid w:val="00A52AB8"/>
    <w:rsid w:val="00A52FDA"/>
    <w:rsid w:val="00A530BF"/>
    <w:rsid w:val="00A5456F"/>
    <w:rsid w:val="00A54705"/>
    <w:rsid w:val="00A55140"/>
    <w:rsid w:val="00A5531C"/>
    <w:rsid w:val="00A553BD"/>
    <w:rsid w:val="00A553EB"/>
    <w:rsid w:val="00A559B9"/>
    <w:rsid w:val="00A55B3F"/>
    <w:rsid w:val="00A55D7B"/>
    <w:rsid w:val="00A5631B"/>
    <w:rsid w:val="00A5672A"/>
    <w:rsid w:val="00A56867"/>
    <w:rsid w:val="00A56ACD"/>
    <w:rsid w:val="00A56BCB"/>
    <w:rsid w:val="00A56F31"/>
    <w:rsid w:val="00A5704C"/>
    <w:rsid w:val="00A57E08"/>
    <w:rsid w:val="00A601D0"/>
    <w:rsid w:val="00A602B6"/>
    <w:rsid w:val="00A602F2"/>
    <w:rsid w:val="00A60A58"/>
    <w:rsid w:val="00A610C7"/>
    <w:rsid w:val="00A61358"/>
    <w:rsid w:val="00A61A9A"/>
    <w:rsid w:val="00A628C2"/>
    <w:rsid w:val="00A62E00"/>
    <w:rsid w:val="00A631BD"/>
    <w:rsid w:val="00A63A37"/>
    <w:rsid w:val="00A64C00"/>
    <w:rsid w:val="00A6506D"/>
    <w:rsid w:val="00A65136"/>
    <w:rsid w:val="00A6559A"/>
    <w:rsid w:val="00A65729"/>
    <w:rsid w:val="00A65B0E"/>
    <w:rsid w:val="00A65E91"/>
    <w:rsid w:val="00A660DB"/>
    <w:rsid w:val="00A66D53"/>
    <w:rsid w:val="00A67330"/>
    <w:rsid w:val="00A6752E"/>
    <w:rsid w:val="00A6797A"/>
    <w:rsid w:val="00A67BEE"/>
    <w:rsid w:val="00A67F39"/>
    <w:rsid w:val="00A7044A"/>
    <w:rsid w:val="00A707C5"/>
    <w:rsid w:val="00A709CF"/>
    <w:rsid w:val="00A714BF"/>
    <w:rsid w:val="00A71D71"/>
    <w:rsid w:val="00A71D8E"/>
    <w:rsid w:val="00A71EA1"/>
    <w:rsid w:val="00A7201B"/>
    <w:rsid w:val="00A7241F"/>
    <w:rsid w:val="00A72444"/>
    <w:rsid w:val="00A727D3"/>
    <w:rsid w:val="00A72AB0"/>
    <w:rsid w:val="00A72CE7"/>
    <w:rsid w:val="00A72F24"/>
    <w:rsid w:val="00A735E3"/>
    <w:rsid w:val="00A73A87"/>
    <w:rsid w:val="00A73A95"/>
    <w:rsid w:val="00A73C1F"/>
    <w:rsid w:val="00A73C24"/>
    <w:rsid w:val="00A742AC"/>
    <w:rsid w:val="00A744CD"/>
    <w:rsid w:val="00A74ABC"/>
    <w:rsid w:val="00A7597B"/>
    <w:rsid w:val="00A75A99"/>
    <w:rsid w:val="00A75D8A"/>
    <w:rsid w:val="00A768BF"/>
    <w:rsid w:val="00A76921"/>
    <w:rsid w:val="00A76A98"/>
    <w:rsid w:val="00A76B99"/>
    <w:rsid w:val="00A76F53"/>
    <w:rsid w:val="00A77179"/>
    <w:rsid w:val="00A775CE"/>
    <w:rsid w:val="00A77898"/>
    <w:rsid w:val="00A778AE"/>
    <w:rsid w:val="00A80943"/>
    <w:rsid w:val="00A812F5"/>
    <w:rsid w:val="00A82845"/>
    <w:rsid w:val="00A82884"/>
    <w:rsid w:val="00A82D35"/>
    <w:rsid w:val="00A8387A"/>
    <w:rsid w:val="00A8427E"/>
    <w:rsid w:val="00A844FF"/>
    <w:rsid w:val="00A845B0"/>
    <w:rsid w:val="00A84D3C"/>
    <w:rsid w:val="00A852BA"/>
    <w:rsid w:val="00A859DD"/>
    <w:rsid w:val="00A85CA5"/>
    <w:rsid w:val="00A85D6E"/>
    <w:rsid w:val="00A863ED"/>
    <w:rsid w:val="00A86C07"/>
    <w:rsid w:val="00A87B4D"/>
    <w:rsid w:val="00A903C9"/>
    <w:rsid w:val="00A90606"/>
    <w:rsid w:val="00A90B57"/>
    <w:rsid w:val="00A91A02"/>
    <w:rsid w:val="00A91C0A"/>
    <w:rsid w:val="00A91E58"/>
    <w:rsid w:val="00A91E65"/>
    <w:rsid w:val="00A92172"/>
    <w:rsid w:val="00A9230E"/>
    <w:rsid w:val="00A924D9"/>
    <w:rsid w:val="00A92D28"/>
    <w:rsid w:val="00A9317A"/>
    <w:rsid w:val="00A9344D"/>
    <w:rsid w:val="00A936C9"/>
    <w:rsid w:val="00A9378A"/>
    <w:rsid w:val="00A9464F"/>
    <w:rsid w:val="00A94660"/>
    <w:rsid w:val="00A9591B"/>
    <w:rsid w:val="00A95950"/>
    <w:rsid w:val="00A963D8"/>
    <w:rsid w:val="00A96419"/>
    <w:rsid w:val="00A9659F"/>
    <w:rsid w:val="00A969A0"/>
    <w:rsid w:val="00A96A60"/>
    <w:rsid w:val="00A97113"/>
    <w:rsid w:val="00A97143"/>
    <w:rsid w:val="00A975FF"/>
    <w:rsid w:val="00A97DEC"/>
    <w:rsid w:val="00A97E9C"/>
    <w:rsid w:val="00AA011C"/>
    <w:rsid w:val="00AA0213"/>
    <w:rsid w:val="00AA0CC2"/>
    <w:rsid w:val="00AA0F9A"/>
    <w:rsid w:val="00AA1177"/>
    <w:rsid w:val="00AA12D7"/>
    <w:rsid w:val="00AA1CA5"/>
    <w:rsid w:val="00AA1D9F"/>
    <w:rsid w:val="00AA1EDC"/>
    <w:rsid w:val="00AA269C"/>
    <w:rsid w:val="00AA3A1B"/>
    <w:rsid w:val="00AA3D91"/>
    <w:rsid w:val="00AA4331"/>
    <w:rsid w:val="00AA4D71"/>
    <w:rsid w:val="00AA5287"/>
    <w:rsid w:val="00AA531E"/>
    <w:rsid w:val="00AA572A"/>
    <w:rsid w:val="00AA62B5"/>
    <w:rsid w:val="00AA6591"/>
    <w:rsid w:val="00AA66ED"/>
    <w:rsid w:val="00AA69AE"/>
    <w:rsid w:val="00AA6BDA"/>
    <w:rsid w:val="00AA7CDC"/>
    <w:rsid w:val="00AB02F2"/>
    <w:rsid w:val="00AB0430"/>
    <w:rsid w:val="00AB077A"/>
    <w:rsid w:val="00AB15AC"/>
    <w:rsid w:val="00AB1FCC"/>
    <w:rsid w:val="00AB220A"/>
    <w:rsid w:val="00AB2340"/>
    <w:rsid w:val="00AB2353"/>
    <w:rsid w:val="00AB2724"/>
    <w:rsid w:val="00AB2781"/>
    <w:rsid w:val="00AB2FE0"/>
    <w:rsid w:val="00AB3659"/>
    <w:rsid w:val="00AB3928"/>
    <w:rsid w:val="00AB407D"/>
    <w:rsid w:val="00AB438B"/>
    <w:rsid w:val="00AB4603"/>
    <w:rsid w:val="00AB47B9"/>
    <w:rsid w:val="00AB4A75"/>
    <w:rsid w:val="00AB4BDA"/>
    <w:rsid w:val="00AB4ED8"/>
    <w:rsid w:val="00AB5028"/>
    <w:rsid w:val="00AB5E13"/>
    <w:rsid w:val="00AB6282"/>
    <w:rsid w:val="00AB6F01"/>
    <w:rsid w:val="00AB72F9"/>
    <w:rsid w:val="00AB798B"/>
    <w:rsid w:val="00AB799D"/>
    <w:rsid w:val="00AB7AE4"/>
    <w:rsid w:val="00AC05DD"/>
    <w:rsid w:val="00AC08D8"/>
    <w:rsid w:val="00AC0A17"/>
    <w:rsid w:val="00AC0A6E"/>
    <w:rsid w:val="00AC0C1F"/>
    <w:rsid w:val="00AC1339"/>
    <w:rsid w:val="00AC2888"/>
    <w:rsid w:val="00AC360D"/>
    <w:rsid w:val="00AC394C"/>
    <w:rsid w:val="00AC3EF5"/>
    <w:rsid w:val="00AC41BC"/>
    <w:rsid w:val="00AC41FF"/>
    <w:rsid w:val="00AC4EAB"/>
    <w:rsid w:val="00AC5AE0"/>
    <w:rsid w:val="00AC6251"/>
    <w:rsid w:val="00AC6668"/>
    <w:rsid w:val="00AC6732"/>
    <w:rsid w:val="00AC68F0"/>
    <w:rsid w:val="00AC6A73"/>
    <w:rsid w:val="00AC6F6B"/>
    <w:rsid w:val="00AD0226"/>
    <w:rsid w:val="00AD06CD"/>
    <w:rsid w:val="00AD1397"/>
    <w:rsid w:val="00AD234E"/>
    <w:rsid w:val="00AD23C7"/>
    <w:rsid w:val="00AD2B73"/>
    <w:rsid w:val="00AD2D27"/>
    <w:rsid w:val="00AD3316"/>
    <w:rsid w:val="00AD34E3"/>
    <w:rsid w:val="00AD3CE2"/>
    <w:rsid w:val="00AD4035"/>
    <w:rsid w:val="00AD49D0"/>
    <w:rsid w:val="00AD4B0E"/>
    <w:rsid w:val="00AD4EFE"/>
    <w:rsid w:val="00AD5DF5"/>
    <w:rsid w:val="00AD71D6"/>
    <w:rsid w:val="00AD7983"/>
    <w:rsid w:val="00AD7999"/>
    <w:rsid w:val="00AE000B"/>
    <w:rsid w:val="00AE0307"/>
    <w:rsid w:val="00AE03E4"/>
    <w:rsid w:val="00AE0BE4"/>
    <w:rsid w:val="00AE0FC4"/>
    <w:rsid w:val="00AE12C6"/>
    <w:rsid w:val="00AE12D3"/>
    <w:rsid w:val="00AE14A1"/>
    <w:rsid w:val="00AE1AC4"/>
    <w:rsid w:val="00AE1E81"/>
    <w:rsid w:val="00AE2118"/>
    <w:rsid w:val="00AE2407"/>
    <w:rsid w:val="00AE2673"/>
    <w:rsid w:val="00AE2C28"/>
    <w:rsid w:val="00AE34BE"/>
    <w:rsid w:val="00AE4102"/>
    <w:rsid w:val="00AE4801"/>
    <w:rsid w:val="00AE54FA"/>
    <w:rsid w:val="00AE5A3F"/>
    <w:rsid w:val="00AE683B"/>
    <w:rsid w:val="00AE6CEA"/>
    <w:rsid w:val="00AF0124"/>
    <w:rsid w:val="00AF0234"/>
    <w:rsid w:val="00AF05FD"/>
    <w:rsid w:val="00AF0B1C"/>
    <w:rsid w:val="00AF0B86"/>
    <w:rsid w:val="00AF1206"/>
    <w:rsid w:val="00AF1496"/>
    <w:rsid w:val="00AF15E6"/>
    <w:rsid w:val="00AF15F5"/>
    <w:rsid w:val="00AF1948"/>
    <w:rsid w:val="00AF1BF8"/>
    <w:rsid w:val="00AF1D3E"/>
    <w:rsid w:val="00AF1EDF"/>
    <w:rsid w:val="00AF2691"/>
    <w:rsid w:val="00AF26FC"/>
    <w:rsid w:val="00AF2A65"/>
    <w:rsid w:val="00AF36D4"/>
    <w:rsid w:val="00AF3D7A"/>
    <w:rsid w:val="00AF44E6"/>
    <w:rsid w:val="00AF45B8"/>
    <w:rsid w:val="00AF4636"/>
    <w:rsid w:val="00AF48FA"/>
    <w:rsid w:val="00AF4930"/>
    <w:rsid w:val="00AF49C5"/>
    <w:rsid w:val="00AF49ED"/>
    <w:rsid w:val="00AF4A6A"/>
    <w:rsid w:val="00AF4C9E"/>
    <w:rsid w:val="00AF52DA"/>
    <w:rsid w:val="00AF66C2"/>
    <w:rsid w:val="00AF6CC6"/>
    <w:rsid w:val="00AF6F60"/>
    <w:rsid w:val="00AF7C6C"/>
    <w:rsid w:val="00AF7D64"/>
    <w:rsid w:val="00B000B2"/>
    <w:rsid w:val="00B0011B"/>
    <w:rsid w:val="00B015F8"/>
    <w:rsid w:val="00B0195F"/>
    <w:rsid w:val="00B020D8"/>
    <w:rsid w:val="00B0247C"/>
    <w:rsid w:val="00B0256A"/>
    <w:rsid w:val="00B02932"/>
    <w:rsid w:val="00B02F3E"/>
    <w:rsid w:val="00B02F6D"/>
    <w:rsid w:val="00B03070"/>
    <w:rsid w:val="00B03492"/>
    <w:rsid w:val="00B03E2F"/>
    <w:rsid w:val="00B0420E"/>
    <w:rsid w:val="00B0427E"/>
    <w:rsid w:val="00B046BF"/>
    <w:rsid w:val="00B04731"/>
    <w:rsid w:val="00B0479E"/>
    <w:rsid w:val="00B04C84"/>
    <w:rsid w:val="00B0507D"/>
    <w:rsid w:val="00B0515A"/>
    <w:rsid w:val="00B054B3"/>
    <w:rsid w:val="00B057BA"/>
    <w:rsid w:val="00B058CC"/>
    <w:rsid w:val="00B05F74"/>
    <w:rsid w:val="00B06192"/>
    <w:rsid w:val="00B06302"/>
    <w:rsid w:val="00B06461"/>
    <w:rsid w:val="00B06ACB"/>
    <w:rsid w:val="00B06E72"/>
    <w:rsid w:val="00B06FEB"/>
    <w:rsid w:val="00B071C9"/>
    <w:rsid w:val="00B072AF"/>
    <w:rsid w:val="00B0765C"/>
    <w:rsid w:val="00B07D2B"/>
    <w:rsid w:val="00B10101"/>
    <w:rsid w:val="00B110D7"/>
    <w:rsid w:val="00B12980"/>
    <w:rsid w:val="00B134DD"/>
    <w:rsid w:val="00B136E9"/>
    <w:rsid w:val="00B13872"/>
    <w:rsid w:val="00B14681"/>
    <w:rsid w:val="00B14E42"/>
    <w:rsid w:val="00B157A7"/>
    <w:rsid w:val="00B15A9A"/>
    <w:rsid w:val="00B15B11"/>
    <w:rsid w:val="00B16276"/>
    <w:rsid w:val="00B166E7"/>
    <w:rsid w:val="00B16814"/>
    <w:rsid w:val="00B168BE"/>
    <w:rsid w:val="00B168D3"/>
    <w:rsid w:val="00B16C15"/>
    <w:rsid w:val="00B16E45"/>
    <w:rsid w:val="00B17522"/>
    <w:rsid w:val="00B17803"/>
    <w:rsid w:val="00B17D4F"/>
    <w:rsid w:val="00B2030F"/>
    <w:rsid w:val="00B209F5"/>
    <w:rsid w:val="00B20ABF"/>
    <w:rsid w:val="00B20AF3"/>
    <w:rsid w:val="00B2129A"/>
    <w:rsid w:val="00B21D5E"/>
    <w:rsid w:val="00B223C8"/>
    <w:rsid w:val="00B229FC"/>
    <w:rsid w:val="00B22D39"/>
    <w:rsid w:val="00B22ED9"/>
    <w:rsid w:val="00B232D4"/>
    <w:rsid w:val="00B23429"/>
    <w:rsid w:val="00B235D8"/>
    <w:rsid w:val="00B23671"/>
    <w:rsid w:val="00B23B6D"/>
    <w:rsid w:val="00B23D59"/>
    <w:rsid w:val="00B24155"/>
    <w:rsid w:val="00B244BC"/>
    <w:rsid w:val="00B244DC"/>
    <w:rsid w:val="00B24B9B"/>
    <w:rsid w:val="00B24FEA"/>
    <w:rsid w:val="00B25493"/>
    <w:rsid w:val="00B25809"/>
    <w:rsid w:val="00B2587C"/>
    <w:rsid w:val="00B263F5"/>
    <w:rsid w:val="00B26F74"/>
    <w:rsid w:val="00B270BB"/>
    <w:rsid w:val="00B27447"/>
    <w:rsid w:val="00B278F0"/>
    <w:rsid w:val="00B27C71"/>
    <w:rsid w:val="00B27E75"/>
    <w:rsid w:val="00B3074B"/>
    <w:rsid w:val="00B30930"/>
    <w:rsid w:val="00B309E6"/>
    <w:rsid w:val="00B3124A"/>
    <w:rsid w:val="00B3152A"/>
    <w:rsid w:val="00B3180A"/>
    <w:rsid w:val="00B31E70"/>
    <w:rsid w:val="00B320CB"/>
    <w:rsid w:val="00B327B0"/>
    <w:rsid w:val="00B3293F"/>
    <w:rsid w:val="00B33786"/>
    <w:rsid w:val="00B3405D"/>
    <w:rsid w:val="00B34281"/>
    <w:rsid w:val="00B34985"/>
    <w:rsid w:val="00B34AFC"/>
    <w:rsid w:val="00B34C4D"/>
    <w:rsid w:val="00B34EB7"/>
    <w:rsid w:val="00B34FC5"/>
    <w:rsid w:val="00B35441"/>
    <w:rsid w:val="00B35717"/>
    <w:rsid w:val="00B3648F"/>
    <w:rsid w:val="00B36534"/>
    <w:rsid w:val="00B3656F"/>
    <w:rsid w:val="00B36943"/>
    <w:rsid w:val="00B36C8F"/>
    <w:rsid w:val="00B37462"/>
    <w:rsid w:val="00B4021A"/>
    <w:rsid w:val="00B40799"/>
    <w:rsid w:val="00B410F1"/>
    <w:rsid w:val="00B4176E"/>
    <w:rsid w:val="00B420AE"/>
    <w:rsid w:val="00B42252"/>
    <w:rsid w:val="00B42448"/>
    <w:rsid w:val="00B42994"/>
    <w:rsid w:val="00B4301D"/>
    <w:rsid w:val="00B44260"/>
    <w:rsid w:val="00B443BC"/>
    <w:rsid w:val="00B44541"/>
    <w:rsid w:val="00B44D3E"/>
    <w:rsid w:val="00B453A5"/>
    <w:rsid w:val="00B455B9"/>
    <w:rsid w:val="00B4568F"/>
    <w:rsid w:val="00B45833"/>
    <w:rsid w:val="00B45F9D"/>
    <w:rsid w:val="00B46EA0"/>
    <w:rsid w:val="00B47504"/>
    <w:rsid w:val="00B47732"/>
    <w:rsid w:val="00B47C2C"/>
    <w:rsid w:val="00B47DD6"/>
    <w:rsid w:val="00B5110C"/>
    <w:rsid w:val="00B51623"/>
    <w:rsid w:val="00B51FFD"/>
    <w:rsid w:val="00B52387"/>
    <w:rsid w:val="00B525B1"/>
    <w:rsid w:val="00B529C6"/>
    <w:rsid w:val="00B532F5"/>
    <w:rsid w:val="00B53678"/>
    <w:rsid w:val="00B5392B"/>
    <w:rsid w:val="00B5395E"/>
    <w:rsid w:val="00B54211"/>
    <w:rsid w:val="00B5422B"/>
    <w:rsid w:val="00B54AD0"/>
    <w:rsid w:val="00B54EA3"/>
    <w:rsid w:val="00B5554B"/>
    <w:rsid w:val="00B56250"/>
    <w:rsid w:val="00B563D4"/>
    <w:rsid w:val="00B5685E"/>
    <w:rsid w:val="00B56ED8"/>
    <w:rsid w:val="00B570CC"/>
    <w:rsid w:val="00B57803"/>
    <w:rsid w:val="00B579B4"/>
    <w:rsid w:val="00B57B53"/>
    <w:rsid w:val="00B57D24"/>
    <w:rsid w:val="00B605DB"/>
    <w:rsid w:val="00B6074B"/>
    <w:rsid w:val="00B60774"/>
    <w:rsid w:val="00B60959"/>
    <w:rsid w:val="00B609FD"/>
    <w:rsid w:val="00B611DD"/>
    <w:rsid w:val="00B615DD"/>
    <w:rsid w:val="00B61AD4"/>
    <w:rsid w:val="00B61F5F"/>
    <w:rsid w:val="00B621AF"/>
    <w:rsid w:val="00B621C5"/>
    <w:rsid w:val="00B62AA6"/>
    <w:rsid w:val="00B644C1"/>
    <w:rsid w:val="00B645A7"/>
    <w:rsid w:val="00B64AC9"/>
    <w:rsid w:val="00B6509E"/>
    <w:rsid w:val="00B655BF"/>
    <w:rsid w:val="00B65A33"/>
    <w:rsid w:val="00B6631C"/>
    <w:rsid w:val="00B66C99"/>
    <w:rsid w:val="00B6740E"/>
    <w:rsid w:val="00B6746A"/>
    <w:rsid w:val="00B7018D"/>
    <w:rsid w:val="00B70206"/>
    <w:rsid w:val="00B7028D"/>
    <w:rsid w:val="00B705A1"/>
    <w:rsid w:val="00B705F9"/>
    <w:rsid w:val="00B71078"/>
    <w:rsid w:val="00B712EB"/>
    <w:rsid w:val="00B71A4F"/>
    <w:rsid w:val="00B71C40"/>
    <w:rsid w:val="00B7250A"/>
    <w:rsid w:val="00B73264"/>
    <w:rsid w:val="00B73330"/>
    <w:rsid w:val="00B734D4"/>
    <w:rsid w:val="00B73B16"/>
    <w:rsid w:val="00B73E19"/>
    <w:rsid w:val="00B741F9"/>
    <w:rsid w:val="00B750ED"/>
    <w:rsid w:val="00B7523B"/>
    <w:rsid w:val="00B755FE"/>
    <w:rsid w:val="00B7579A"/>
    <w:rsid w:val="00B75833"/>
    <w:rsid w:val="00B75E18"/>
    <w:rsid w:val="00B7637C"/>
    <w:rsid w:val="00B763CA"/>
    <w:rsid w:val="00B76620"/>
    <w:rsid w:val="00B768AE"/>
    <w:rsid w:val="00B76B7C"/>
    <w:rsid w:val="00B76B99"/>
    <w:rsid w:val="00B77B0A"/>
    <w:rsid w:val="00B807EC"/>
    <w:rsid w:val="00B80886"/>
    <w:rsid w:val="00B809FF"/>
    <w:rsid w:val="00B812B0"/>
    <w:rsid w:val="00B821D4"/>
    <w:rsid w:val="00B836BA"/>
    <w:rsid w:val="00B83E77"/>
    <w:rsid w:val="00B84681"/>
    <w:rsid w:val="00B85047"/>
    <w:rsid w:val="00B85AFC"/>
    <w:rsid w:val="00B85B90"/>
    <w:rsid w:val="00B85D61"/>
    <w:rsid w:val="00B861B7"/>
    <w:rsid w:val="00B86758"/>
    <w:rsid w:val="00B874D6"/>
    <w:rsid w:val="00B87887"/>
    <w:rsid w:val="00B87F65"/>
    <w:rsid w:val="00B90666"/>
    <w:rsid w:val="00B91749"/>
    <w:rsid w:val="00B91B3F"/>
    <w:rsid w:val="00B91D42"/>
    <w:rsid w:val="00B92987"/>
    <w:rsid w:val="00B92D3E"/>
    <w:rsid w:val="00B93054"/>
    <w:rsid w:val="00B932A4"/>
    <w:rsid w:val="00B93355"/>
    <w:rsid w:val="00B93A7D"/>
    <w:rsid w:val="00B949EC"/>
    <w:rsid w:val="00B94D3B"/>
    <w:rsid w:val="00B94D9A"/>
    <w:rsid w:val="00B9516A"/>
    <w:rsid w:val="00B953C3"/>
    <w:rsid w:val="00B95749"/>
    <w:rsid w:val="00B95807"/>
    <w:rsid w:val="00B95A41"/>
    <w:rsid w:val="00B95D75"/>
    <w:rsid w:val="00B965A8"/>
    <w:rsid w:val="00B96986"/>
    <w:rsid w:val="00B96BA8"/>
    <w:rsid w:val="00B96FF7"/>
    <w:rsid w:val="00B97109"/>
    <w:rsid w:val="00B97470"/>
    <w:rsid w:val="00B975A6"/>
    <w:rsid w:val="00B97606"/>
    <w:rsid w:val="00BA0585"/>
    <w:rsid w:val="00BA0CE8"/>
    <w:rsid w:val="00BA1182"/>
    <w:rsid w:val="00BA1284"/>
    <w:rsid w:val="00BA19A2"/>
    <w:rsid w:val="00BA246C"/>
    <w:rsid w:val="00BA27F3"/>
    <w:rsid w:val="00BA2E6B"/>
    <w:rsid w:val="00BA2FF7"/>
    <w:rsid w:val="00BA33B1"/>
    <w:rsid w:val="00BA3DFC"/>
    <w:rsid w:val="00BA4C21"/>
    <w:rsid w:val="00BA4EC8"/>
    <w:rsid w:val="00BA5CDB"/>
    <w:rsid w:val="00BA5EB3"/>
    <w:rsid w:val="00BA5F5C"/>
    <w:rsid w:val="00BA65C1"/>
    <w:rsid w:val="00BA66C1"/>
    <w:rsid w:val="00BA6988"/>
    <w:rsid w:val="00BA6CE7"/>
    <w:rsid w:val="00BA72F8"/>
    <w:rsid w:val="00BB0B72"/>
    <w:rsid w:val="00BB0DCB"/>
    <w:rsid w:val="00BB109B"/>
    <w:rsid w:val="00BB138B"/>
    <w:rsid w:val="00BB1421"/>
    <w:rsid w:val="00BB186D"/>
    <w:rsid w:val="00BB2410"/>
    <w:rsid w:val="00BB2883"/>
    <w:rsid w:val="00BB353F"/>
    <w:rsid w:val="00BB37AC"/>
    <w:rsid w:val="00BB3D32"/>
    <w:rsid w:val="00BB4572"/>
    <w:rsid w:val="00BB4CB9"/>
    <w:rsid w:val="00BB4D81"/>
    <w:rsid w:val="00BB4EE2"/>
    <w:rsid w:val="00BB51C2"/>
    <w:rsid w:val="00BB58F5"/>
    <w:rsid w:val="00BB5CF2"/>
    <w:rsid w:val="00BB5FC6"/>
    <w:rsid w:val="00BB6202"/>
    <w:rsid w:val="00BB68E3"/>
    <w:rsid w:val="00BB7442"/>
    <w:rsid w:val="00BB7C11"/>
    <w:rsid w:val="00BC0334"/>
    <w:rsid w:val="00BC0EE9"/>
    <w:rsid w:val="00BC14EE"/>
    <w:rsid w:val="00BC19A4"/>
    <w:rsid w:val="00BC244D"/>
    <w:rsid w:val="00BC2592"/>
    <w:rsid w:val="00BC2C9F"/>
    <w:rsid w:val="00BC2FB4"/>
    <w:rsid w:val="00BC360A"/>
    <w:rsid w:val="00BC36F8"/>
    <w:rsid w:val="00BC41F5"/>
    <w:rsid w:val="00BC4490"/>
    <w:rsid w:val="00BC4A7F"/>
    <w:rsid w:val="00BC4D59"/>
    <w:rsid w:val="00BC4F9A"/>
    <w:rsid w:val="00BC5095"/>
    <w:rsid w:val="00BC50D2"/>
    <w:rsid w:val="00BC56C4"/>
    <w:rsid w:val="00BC5A63"/>
    <w:rsid w:val="00BC5B4C"/>
    <w:rsid w:val="00BC5E27"/>
    <w:rsid w:val="00BC6041"/>
    <w:rsid w:val="00BC61B1"/>
    <w:rsid w:val="00BC6A3F"/>
    <w:rsid w:val="00BC6FB5"/>
    <w:rsid w:val="00BC74C1"/>
    <w:rsid w:val="00BC7606"/>
    <w:rsid w:val="00BC7939"/>
    <w:rsid w:val="00BC7DDE"/>
    <w:rsid w:val="00BD0035"/>
    <w:rsid w:val="00BD0063"/>
    <w:rsid w:val="00BD06AD"/>
    <w:rsid w:val="00BD0FD1"/>
    <w:rsid w:val="00BD1636"/>
    <w:rsid w:val="00BD1A20"/>
    <w:rsid w:val="00BD215C"/>
    <w:rsid w:val="00BD24DA"/>
    <w:rsid w:val="00BD29BB"/>
    <w:rsid w:val="00BD388C"/>
    <w:rsid w:val="00BD445F"/>
    <w:rsid w:val="00BD488C"/>
    <w:rsid w:val="00BD4987"/>
    <w:rsid w:val="00BD4A8E"/>
    <w:rsid w:val="00BD4AE2"/>
    <w:rsid w:val="00BD4C71"/>
    <w:rsid w:val="00BD4CDD"/>
    <w:rsid w:val="00BD4CF8"/>
    <w:rsid w:val="00BD4D57"/>
    <w:rsid w:val="00BD4F77"/>
    <w:rsid w:val="00BD51B0"/>
    <w:rsid w:val="00BD52A1"/>
    <w:rsid w:val="00BD52B5"/>
    <w:rsid w:val="00BD5D31"/>
    <w:rsid w:val="00BD5F9B"/>
    <w:rsid w:val="00BD5FB0"/>
    <w:rsid w:val="00BD613B"/>
    <w:rsid w:val="00BD64DA"/>
    <w:rsid w:val="00BD79ED"/>
    <w:rsid w:val="00BD7E4C"/>
    <w:rsid w:val="00BE0034"/>
    <w:rsid w:val="00BE00E2"/>
    <w:rsid w:val="00BE01C6"/>
    <w:rsid w:val="00BE0360"/>
    <w:rsid w:val="00BE0C81"/>
    <w:rsid w:val="00BE141B"/>
    <w:rsid w:val="00BE154D"/>
    <w:rsid w:val="00BE1622"/>
    <w:rsid w:val="00BE1890"/>
    <w:rsid w:val="00BE18C7"/>
    <w:rsid w:val="00BE1FA1"/>
    <w:rsid w:val="00BE234E"/>
    <w:rsid w:val="00BE26F0"/>
    <w:rsid w:val="00BE2CCF"/>
    <w:rsid w:val="00BE2EBD"/>
    <w:rsid w:val="00BE30C8"/>
    <w:rsid w:val="00BE3271"/>
    <w:rsid w:val="00BE3D1D"/>
    <w:rsid w:val="00BE462E"/>
    <w:rsid w:val="00BE4C8D"/>
    <w:rsid w:val="00BE4D10"/>
    <w:rsid w:val="00BE54FC"/>
    <w:rsid w:val="00BE564D"/>
    <w:rsid w:val="00BE5922"/>
    <w:rsid w:val="00BE59E6"/>
    <w:rsid w:val="00BE5D26"/>
    <w:rsid w:val="00BE6EC6"/>
    <w:rsid w:val="00BE7CCB"/>
    <w:rsid w:val="00BF03D5"/>
    <w:rsid w:val="00BF1389"/>
    <w:rsid w:val="00BF193A"/>
    <w:rsid w:val="00BF193C"/>
    <w:rsid w:val="00BF2FF8"/>
    <w:rsid w:val="00BF340B"/>
    <w:rsid w:val="00BF4C59"/>
    <w:rsid w:val="00BF4E43"/>
    <w:rsid w:val="00BF516D"/>
    <w:rsid w:val="00BF51FB"/>
    <w:rsid w:val="00BF53AB"/>
    <w:rsid w:val="00BF5A30"/>
    <w:rsid w:val="00BF604B"/>
    <w:rsid w:val="00BF64D2"/>
    <w:rsid w:val="00BF6811"/>
    <w:rsid w:val="00BF6F0B"/>
    <w:rsid w:val="00BF6F31"/>
    <w:rsid w:val="00BF7772"/>
    <w:rsid w:val="00C00154"/>
    <w:rsid w:val="00C00806"/>
    <w:rsid w:val="00C009A8"/>
    <w:rsid w:val="00C013CE"/>
    <w:rsid w:val="00C015EC"/>
    <w:rsid w:val="00C017E2"/>
    <w:rsid w:val="00C02141"/>
    <w:rsid w:val="00C0293E"/>
    <w:rsid w:val="00C038D8"/>
    <w:rsid w:val="00C04517"/>
    <w:rsid w:val="00C04CA4"/>
    <w:rsid w:val="00C053BD"/>
    <w:rsid w:val="00C05755"/>
    <w:rsid w:val="00C060AC"/>
    <w:rsid w:val="00C062F4"/>
    <w:rsid w:val="00C06970"/>
    <w:rsid w:val="00C076FC"/>
    <w:rsid w:val="00C07CCE"/>
    <w:rsid w:val="00C10075"/>
    <w:rsid w:val="00C10618"/>
    <w:rsid w:val="00C10942"/>
    <w:rsid w:val="00C10D10"/>
    <w:rsid w:val="00C10D74"/>
    <w:rsid w:val="00C10DB6"/>
    <w:rsid w:val="00C1113E"/>
    <w:rsid w:val="00C114C8"/>
    <w:rsid w:val="00C11C0E"/>
    <w:rsid w:val="00C11FDA"/>
    <w:rsid w:val="00C12619"/>
    <w:rsid w:val="00C13769"/>
    <w:rsid w:val="00C1395F"/>
    <w:rsid w:val="00C139BE"/>
    <w:rsid w:val="00C13C02"/>
    <w:rsid w:val="00C13C95"/>
    <w:rsid w:val="00C13EF6"/>
    <w:rsid w:val="00C13F87"/>
    <w:rsid w:val="00C142F5"/>
    <w:rsid w:val="00C14793"/>
    <w:rsid w:val="00C149C2"/>
    <w:rsid w:val="00C1519B"/>
    <w:rsid w:val="00C1531E"/>
    <w:rsid w:val="00C158B2"/>
    <w:rsid w:val="00C15C16"/>
    <w:rsid w:val="00C160CA"/>
    <w:rsid w:val="00C16EBB"/>
    <w:rsid w:val="00C16FBC"/>
    <w:rsid w:val="00C17241"/>
    <w:rsid w:val="00C17252"/>
    <w:rsid w:val="00C17356"/>
    <w:rsid w:val="00C2067B"/>
    <w:rsid w:val="00C209EE"/>
    <w:rsid w:val="00C20F71"/>
    <w:rsid w:val="00C2122E"/>
    <w:rsid w:val="00C21AF1"/>
    <w:rsid w:val="00C21C88"/>
    <w:rsid w:val="00C223C0"/>
    <w:rsid w:val="00C225AD"/>
    <w:rsid w:val="00C2287C"/>
    <w:rsid w:val="00C22DCB"/>
    <w:rsid w:val="00C23389"/>
    <w:rsid w:val="00C24309"/>
    <w:rsid w:val="00C244D3"/>
    <w:rsid w:val="00C247A0"/>
    <w:rsid w:val="00C24DE9"/>
    <w:rsid w:val="00C251FF"/>
    <w:rsid w:val="00C25223"/>
    <w:rsid w:val="00C25869"/>
    <w:rsid w:val="00C25F4E"/>
    <w:rsid w:val="00C26CB4"/>
    <w:rsid w:val="00C26D49"/>
    <w:rsid w:val="00C26DAE"/>
    <w:rsid w:val="00C270C9"/>
    <w:rsid w:val="00C3010A"/>
    <w:rsid w:val="00C30F86"/>
    <w:rsid w:val="00C310CE"/>
    <w:rsid w:val="00C310F0"/>
    <w:rsid w:val="00C313E8"/>
    <w:rsid w:val="00C31451"/>
    <w:rsid w:val="00C32919"/>
    <w:rsid w:val="00C32F06"/>
    <w:rsid w:val="00C33231"/>
    <w:rsid w:val="00C34024"/>
    <w:rsid w:val="00C341EC"/>
    <w:rsid w:val="00C344D1"/>
    <w:rsid w:val="00C34508"/>
    <w:rsid w:val="00C34C6C"/>
    <w:rsid w:val="00C34F96"/>
    <w:rsid w:val="00C3506E"/>
    <w:rsid w:val="00C35484"/>
    <w:rsid w:val="00C3565B"/>
    <w:rsid w:val="00C35B4F"/>
    <w:rsid w:val="00C3707C"/>
    <w:rsid w:val="00C370B7"/>
    <w:rsid w:val="00C371A7"/>
    <w:rsid w:val="00C37A59"/>
    <w:rsid w:val="00C37E18"/>
    <w:rsid w:val="00C40033"/>
    <w:rsid w:val="00C402BA"/>
    <w:rsid w:val="00C40BB3"/>
    <w:rsid w:val="00C40E92"/>
    <w:rsid w:val="00C40F36"/>
    <w:rsid w:val="00C41082"/>
    <w:rsid w:val="00C41198"/>
    <w:rsid w:val="00C417E4"/>
    <w:rsid w:val="00C41A75"/>
    <w:rsid w:val="00C41B9B"/>
    <w:rsid w:val="00C41C67"/>
    <w:rsid w:val="00C4245D"/>
    <w:rsid w:val="00C43491"/>
    <w:rsid w:val="00C43AFE"/>
    <w:rsid w:val="00C44C05"/>
    <w:rsid w:val="00C44CF7"/>
    <w:rsid w:val="00C452D5"/>
    <w:rsid w:val="00C45910"/>
    <w:rsid w:val="00C45DA8"/>
    <w:rsid w:val="00C4646E"/>
    <w:rsid w:val="00C46DB9"/>
    <w:rsid w:val="00C46F51"/>
    <w:rsid w:val="00C47063"/>
    <w:rsid w:val="00C4773C"/>
    <w:rsid w:val="00C47835"/>
    <w:rsid w:val="00C50717"/>
    <w:rsid w:val="00C5092B"/>
    <w:rsid w:val="00C5094A"/>
    <w:rsid w:val="00C50DD5"/>
    <w:rsid w:val="00C51DDD"/>
    <w:rsid w:val="00C51E08"/>
    <w:rsid w:val="00C51EAE"/>
    <w:rsid w:val="00C5411F"/>
    <w:rsid w:val="00C54432"/>
    <w:rsid w:val="00C54528"/>
    <w:rsid w:val="00C545C1"/>
    <w:rsid w:val="00C54F2F"/>
    <w:rsid w:val="00C5518D"/>
    <w:rsid w:val="00C55361"/>
    <w:rsid w:val="00C55661"/>
    <w:rsid w:val="00C558E7"/>
    <w:rsid w:val="00C55990"/>
    <w:rsid w:val="00C56396"/>
    <w:rsid w:val="00C5688B"/>
    <w:rsid w:val="00C569D7"/>
    <w:rsid w:val="00C56B21"/>
    <w:rsid w:val="00C56B3D"/>
    <w:rsid w:val="00C56F92"/>
    <w:rsid w:val="00C57C64"/>
    <w:rsid w:val="00C57C97"/>
    <w:rsid w:val="00C57E04"/>
    <w:rsid w:val="00C57F02"/>
    <w:rsid w:val="00C605E8"/>
    <w:rsid w:val="00C60AD8"/>
    <w:rsid w:val="00C60D45"/>
    <w:rsid w:val="00C615D1"/>
    <w:rsid w:val="00C61720"/>
    <w:rsid w:val="00C626DF"/>
    <w:rsid w:val="00C62895"/>
    <w:rsid w:val="00C63254"/>
    <w:rsid w:val="00C63320"/>
    <w:rsid w:val="00C634E6"/>
    <w:rsid w:val="00C63719"/>
    <w:rsid w:val="00C6382C"/>
    <w:rsid w:val="00C63CA8"/>
    <w:rsid w:val="00C64299"/>
    <w:rsid w:val="00C644CD"/>
    <w:rsid w:val="00C6466A"/>
    <w:rsid w:val="00C65570"/>
    <w:rsid w:val="00C65BC6"/>
    <w:rsid w:val="00C65F31"/>
    <w:rsid w:val="00C65F9D"/>
    <w:rsid w:val="00C6677B"/>
    <w:rsid w:val="00C66848"/>
    <w:rsid w:val="00C66A8E"/>
    <w:rsid w:val="00C66AA2"/>
    <w:rsid w:val="00C66B9F"/>
    <w:rsid w:val="00C67406"/>
    <w:rsid w:val="00C67967"/>
    <w:rsid w:val="00C67ED9"/>
    <w:rsid w:val="00C705B4"/>
    <w:rsid w:val="00C70A86"/>
    <w:rsid w:val="00C70C4C"/>
    <w:rsid w:val="00C7145B"/>
    <w:rsid w:val="00C71465"/>
    <w:rsid w:val="00C717C1"/>
    <w:rsid w:val="00C7188C"/>
    <w:rsid w:val="00C71CF3"/>
    <w:rsid w:val="00C7206F"/>
    <w:rsid w:val="00C722F1"/>
    <w:rsid w:val="00C724A9"/>
    <w:rsid w:val="00C7266B"/>
    <w:rsid w:val="00C726C7"/>
    <w:rsid w:val="00C72D86"/>
    <w:rsid w:val="00C73164"/>
    <w:rsid w:val="00C73DFB"/>
    <w:rsid w:val="00C73E76"/>
    <w:rsid w:val="00C74664"/>
    <w:rsid w:val="00C747E7"/>
    <w:rsid w:val="00C74DBF"/>
    <w:rsid w:val="00C74EBF"/>
    <w:rsid w:val="00C760B5"/>
    <w:rsid w:val="00C77A2B"/>
    <w:rsid w:val="00C77CC4"/>
    <w:rsid w:val="00C77E61"/>
    <w:rsid w:val="00C80B4C"/>
    <w:rsid w:val="00C80BAD"/>
    <w:rsid w:val="00C80FD0"/>
    <w:rsid w:val="00C81102"/>
    <w:rsid w:val="00C815DF"/>
    <w:rsid w:val="00C81706"/>
    <w:rsid w:val="00C81AAF"/>
    <w:rsid w:val="00C8226F"/>
    <w:rsid w:val="00C830F5"/>
    <w:rsid w:val="00C830FE"/>
    <w:rsid w:val="00C8350A"/>
    <w:rsid w:val="00C83DFA"/>
    <w:rsid w:val="00C83FA1"/>
    <w:rsid w:val="00C84599"/>
    <w:rsid w:val="00C84708"/>
    <w:rsid w:val="00C84771"/>
    <w:rsid w:val="00C84A59"/>
    <w:rsid w:val="00C8543A"/>
    <w:rsid w:val="00C8559C"/>
    <w:rsid w:val="00C86056"/>
    <w:rsid w:val="00C865DC"/>
    <w:rsid w:val="00C86895"/>
    <w:rsid w:val="00C86B41"/>
    <w:rsid w:val="00C87C8D"/>
    <w:rsid w:val="00C904D5"/>
    <w:rsid w:val="00C91154"/>
    <w:rsid w:val="00C91244"/>
    <w:rsid w:val="00C915AD"/>
    <w:rsid w:val="00C91CF3"/>
    <w:rsid w:val="00C920A9"/>
    <w:rsid w:val="00C92201"/>
    <w:rsid w:val="00C92263"/>
    <w:rsid w:val="00C92724"/>
    <w:rsid w:val="00C92BF9"/>
    <w:rsid w:val="00C92F19"/>
    <w:rsid w:val="00C935E5"/>
    <w:rsid w:val="00C936DD"/>
    <w:rsid w:val="00C93791"/>
    <w:rsid w:val="00C93907"/>
    <w:rsid w:val="00C93A63"/>
    <w:rsid w:val="00C93C70"/>
    <w:rsid w:val="00C93C7B"/>
    <w:rsid w:val="00C93E70"/>
    <w:rsid w:val="00C94288"/>
    <w:rsid w:val="00C94637"/>
    <w:rsid w:val="00C94CF7"/>
    <w:rsid w:val="00C94F66"/>
    <w:rsid w:val="00C951BA"/>
    <w:rsid w:val="00C95405"/>
    <w:rsid w:val="00C957EE"/>
    <w:rsid w:val="00C95B7E"/>
    <w:rsid w:val="00C96020"/>
    <w:rsid w:val="00C96F32"/>
    <w:rsid w:val="00C96FDD"/>
    <w:rsid w:val="00C97755"/>
    <w:rsid w:val="00C977D9"/>
    <w:rsid w:val="00C979A3"/>
    <w:rsid w:val="00CA0186"/>
    <w:rsid w:val="00CA034C"/>
    <w:rsid w:val="00CA074C"/>
    <w:rsid w:val="00CA0A1B"/>
    <w:rsid w:val="00CA0B38"/>
    <w:rsid w:val="00CA10EF"/>
    <w:rsid w:val="00CA1382"/>
    <w:rsid w:val="00CA281A"/>
    <w:rsid w:val="00CA2AC4"/>
    <w:rsid w:val="00CA2DDD"/>
    <w:rsid w:val="00CA3019"/>
    <w:rsid w:val="00CA3163"/>
    <w:rsid w:val="00CA3E27"/>
    <w:rsid w:val="00CA3FAB"/>
    <w:rsid w:val="00CA423C"/>
    <w:rsid w:val="00CA4240"/>
    <w:rsid w:val="00CA4408"/>
    <w:rsid w:val="00CA4931"/>
    <w:rsid w:val="00CA5704"/>
    <w:rsid w:val="00CA5AFB"/>
    <w:rsid w:val="00CA63FC"/>
    <w:rsid w:val="00CA6601"/>
    <w:rsid w:val="00CA6ACC"/>
    <w:rsid w:val="00CA71F3"/>
    <w:rsid w:val="00CA7840"/>
    <w:rsid w:val="00CB0631"/>
    <w:rsid w:val="00CB0783"/>
    <w:rsid w:val="00CB0942"/>
    <w:rsid w:val="00CB09AF"/>
    <w:rsid w:val="00CB1197"/>
    <w:rsid w:val="00CB1734"/>
    <w:rsid w:val="00CB18EA"/>
    <w:rsid w:val="00CB1928"/>
    <w:rsid w:val="00CB1D4B"/>
    <w:rsid w:val="00CB287D"/>
    <w:rsid w:val="00CB3040"/>
    <w:rsid w:val="00CB39E8"/>
    <w:rsid w:val="00CB3F25"/>
    <w:rsid w:val="00CB44AF"/>
    <w:rsid w:val="00CB54AE"/>
    <w:rsid w:val="00CB567E"/>
    <w:rsid w:val="00CB5CD6"/>
    <w:rsid w:val="00CB6214"/>
    <w:rsid w:val="00CB6448"/>
    <w:rsid w:val="00CB6F09"/>
    <w:rsid w:val="00CB756A"/>
    <w:rsid w:val="00CB77F4"/>
    <w:rsid w:val="00CB7F01"/>
    <w:rsid w:val="00CC05D9"/>
    <w:rsid w:val="00CC0F65"/>
    <w:rsid w:val="00CC1DF0"/>
    <w:rsid w:val="00CC24B4"/>
    <w:rsid w:val="00CC2848"/>
    <w:rsid w:val="00CC2899"/>
    <w:rsid w:val="00CC2911"/>
    <w:rsid w:val="00CC2E0B"/>
    <w:rsid w:val="00CC30E6"/>
    <w:rsid w:val="00CC3BE8"/>
    <w:rsid w:val="00CC3EAB"/>
    <w:rsid w:val="00CC4ABD"/>
    <w:rsid w:val="00CC51CC"/>
    <w:rsid w:val="00CC5C0E"/>
    <w:rsid w:val="00CC5DFB"/>
    <w:rsid w:val="00CC6D84"/>
    <w:rsid w:val="00CC7027"/>
    <w:rsid w:val="00CC7DAB"/>
    <w:rsid w:val="00CC7FF8"/>
    <w:rsid w:val="00CD00D3"/>
    <w:rsid w:val="00CD00F8"/>
    <w:rsid w:val="00CD073A"/>
    <w:rsid w:val="00CD0D35"/>
    <w:rsid w:val="00CD0D6B"/>
    <w:rsid w:val="00CD1272"/>
    <w:rsid w:val="00CD12A2"/>
    <w:rsid w:val="00CD1671"/>
    <w:rsid w:val="00CD257D"/>
    <w:rsid w:val="00CD2EA0"/>
    <w:rsid w:val="00CD3AC0"/>
    <w:rsid w:val="00CD3C34"/>
    <w:rsid w:val="00CD3D07"/>
    <w:rsid w:val="00CD4228"/>
    <w:rsid w:val="00CD4373"/>
    <w:rsid w:val="00CD4424"/>
    <w:rsid w:val="00CD4A85"/>
    <w:rsid w:val="00CD510E"/>
    <w:rsid w:val="00CD552C"/>
    <w:rsid w:val="00CD55DA"/>
    <w:rsid w:val="00CD573F"/>
    <w:rsid w:val="00CD578E"/>
    <w:rsid w:val="00CD5B9F"/>
    <w:rsid w:val="00CD65F4"/>
    <w:rsid w:val="00CD6C38"/>
    <w:rsid w:val="00CD7242"/>
    <w:rsid w:val="00CD7293"/>
    <w:rsid w:val="00CD7514"/>
    <w:rsid w:val="00CD777A"/>
    <w:rsid w:val="00CD78C3"/>
    <w:rsid w:val="00CD78CA"/>
    <w:rsid w:val="00CD7D04"/>
    <w:rsid w:val="00CD7E67"/>
    <w:rsid w:val="00CE0DAD"/>
    <w:rsid w:val="00CE100F"/>
    <w:rsid w:val="00CE158A"/>
    <w:rsid w:val="00CE167F"/>
    <w:rsid w:val="00CE1D6F"/>
    <w:rsid w:val="00CE2468"/>
    <w:rsid w:val="00CE24AC"/>
    <w:rsid w:val="00CE355D"/>
    <w:rsid w:val="00CE3821"/>
    <w:rsid w:val="00CE3F84"/>
    <w:rsid w:val="00CE400D"/>
    <w:rsid w:val="00CE41DA"/>
    <w:rsid w:val="00CE47AA"/>
    <w:rsid w:val="00CE49B2"/>
    <w:rsid w:val="00CE50FB"/>
    <w:rsid w:val="00CE55AC"/>
    <w:rsid w:val="00CE5B7F"/>
    <w:rsid w:val="00CE5BBB"/>
    <w:rsid w:val="00CE5C75"/>
    <w:rsid w:val="00CE62D6"/>
    <w:rsid w:val="00CF0700"/>
    <w:rsid w:val="00CF07CA"/>
    <w:rsid w:val="00CF0C48"/>
    <w:rsid w:val="00CF1145"/>
    <w:rsid w:val="00CF2546"/>
    <w:rsid w:val="00CF267B"/>
    <w:rsid w:val="00CF27A6"/>
    <w:rsid w:val="00CF2FF4"/>
    <w:rsid w:val="00CF332C"/>
    <w:rsid w:val="00CF3703"/>
    <w:rsid w:val="00CF3C3C"/>
    <w:rsid w:val="00CF3C90"/>
    <w:rsid w:val="00CF3DF7"/>
    <w:rsid w:val="00CF4322"/>
    <w:rsid w:val="00CF4571"/>
    <w:rsid w:val="00CF4B17"/>
    <w:rsid w:val="00CF4C73"/>
    <w:rsid w:val="00CF4CEA"/>
    <w:rsid w:val="00CF4E83"/>
    <w:rsid w:val="00CF513B"/>
    <w:rsid w:val="00CF514C"/>
    <w:rsid w:val="00CF547C"/>
    <w:rsid w:val="00CF61E5"/>
    <w:rsid w:val="00CF6756"/>
    <w:rsid w:val="00CF779D"/>
    <w:rsid w:val="00CF7ED3"/>
    <w:rsid w:val="00D00FC3"/>
    <w:rsid w:val="00D01367"/>
    <w:rsid w:val="00D01A61"/>
    <w:rsid w:val="00D01AB8"/>
    <w:rsid w:val="00D01F45"/>
    <w:rsid w:val="00D02540"/>
    <w:rsid w:val="00D0264A"/>
    <w:rsid w:val="00D02BFD"/>
    <w:rsid w:val="00D02F0C"/>
    <w:rsid w:val="00D03A18"/>
    <w:rsid w:val="00D03C96"/>
    <w:rsid w:val="00D0401F"/>
    <w:rsid w:val="00D043F4"/>
    <w:rsid w:val="00D04607"/>
    <w:rsid w:val="00D04A46"/>
    <w:rsid w:val="00D0536C"/>
    <w:rsid w:val="00D05403"/>
    <w:rsid w:val="00D056B2"/>
    <w:rsid w:val="00D05CB7"/>
    <w:rsid w:val="00D06030"/>
    <w:rsid w:val="00D0617B"/>
    <w:rsid w:val="00D0640E"/>
    <w:rsid w:val="00D06782"/>
    <w:rsid w:val="00D06E3F"/>
    <w:rsid w:val="00D06FE5"/>
    <w:rsid w:val="00D074D0"/>
    <w:rsid w:val="00D07FFE"/>
    <w:rsid w:val="00D10586"/>
    <w:rsid w:val="00D1074F"/>
    <w:rsid w:val="00D115A7"/>
    <w:rsid w:val="00D1184E"/>
    <w:rsid w:val="00D1194E"/>
    <w:rsid w:val="00D11B10"/>
    <w:rsid w:val="00D11DDF"/>
    <w:rsid w:val="00D1273A"/>
    <w:rsid w:val="00D1276A"/>
    <w:rsid w:val="00D12E9D"/>
    <w:rsid w:val="00D13503"/>
    <w:rsid w:val="00D13EBF"/>
    <w:rsid w:val="00D13EE7"/>
    <w:rsid w:val="00D14600"/>
    <w:rsid w:val="00D1478E"/>
    <w:rsid w:val="00D14BE6"/>
    <w:rsid w:val="00D14E2F"/>
    <w:rsid w:val="00D15047"/>
    <w:rsid w:val="00D15210"/>
    <w:rsid w:val="00D152A8"/>
    <w:rsid w:val="00D153EF"/>
    <w:rsid w:val="00D1579A"/>
    <w:rsid w:val="00D15A35"/>
    <w:rsid w:val="00D16640"/>
    <w:rsid w:val="00D168BF"/>
    <w:rsid w:val="00D171B5"/>
    <w:rsid w:val="00D1743A"/>
    <w:rsid w:val="00D20330"/>
    <w:rsid w:val="00D20437"/>
    <w:rsid w:val="00D20871"/>
    <w:rsid w:val="00D20D0E"/>
    <w:rsid w:val="00D20EE8"/>
    <w:rsid w:val="00D2103F"/>
    <w:rsid w:val="00D216E3"/>
    <w:rsid w:val="00D217A7"/>
    <w:rsid w:val="00D21D8E"/>
    <w:rsid w:val="00D228EE"/>
    <w:rsid w:val="00D24300"/>
    <w:rsid w:val="00D24C01"/>
    <w:rsid w:val="00D24EE7"/>
    <w:rsid w:val="00D24F87"/>
    <w:rsid w:val="00D2520E"/>
    <w:rsid w:val="00D25317"/>
    <w:rsid w:val="00D2595F"/>
    <w:rsid w:val="00D25E13"/>
    <w:rsid w:val="00D25F07"/>
    <w:rsid w:val="00D26A5D"/>
    <w:rsid w:val="00D305D7"/>
    <w:rsid w:val="00D30DD2"/>
    <w:rsid w:val="00D30FD4"/>
    <w:rsid w:val="00D31B77"/>
    <w:rsid w:val="00D31C2B"/>
    <w:rsid w:val="00D31C3C"/>
    <w:rsid w:val="00D328D2"/>
    <w:rsid w:val="00D32F0C"/>
    <w:rsid w:val="00D32FEA"/>
    <w:rsid w:val="00D33054"/>
    <w:rsid w:val="00D33668"/>
    <w:rsid w:val="00D33A74"/>
    <w:rsid w:val="00D33B5B"/>
    <w:rsid w:val="00D342E8"/>
    <w:rsid w:val="00D34480"/>
    <w:rsid w:val="00D34802"/>
    <w:rsid w:val="00D35254"/>
    <w:rsid w:val="00D360ED"/>
    <w:rsid w:val="00D36135"/>
    <w:rsid w:val="00D3657F"/>
    <w:rsid w:val="00D36B62"/>
    <w:rsid w:val="00D36BA6"/>
    <w:rsid w:val="00D370F8"/>
    <w:rsid w:val="00D373A8"/>
    <w:rsid w:val="00D379DC"/>
    <w:rsid w:val="00D40A84"/>
    <w:rsid w:val="00D40FE9"/>
    <w:rsid w:val="00D4143F"/>
    <w:rsid w:val="00D41A22"/>
    <w:rsid w:val="00D42658"/>
    <w:rsid w:val="00D42FC7"/>
    <w:rsid w:val="00D43C6C"/>
    <w:rsid w:val="00D447BA"/>
    <w:rsid w:val="00D44998"/>
    <w:rsid w:val="00D44EE7"/>
    <w:rsid w:val="00D45D04"/>
    <w:rsid w:val="00D473E8"/>
    <w:rsid w:val="00D474AE"/>
    <w:rsid w:val="00D47B1B"/>
    <w:rsid w:val="00D50AE5"/>
    <w:rsid w:val="00D50FD4"/>
    <w:rsid w:val="00D5158D"/>
    <w:rsid w:val="00D52490"/>
    <w:rsid w:val="00D52677"/>
    <w:rsid w:val="00D52962"/>
    <w:rsid w:val="00D52AC5"/>
    <w:rsid w:val="00D52B20"/>
    <w:rsid w:val="00D541DB"/>
    <w:rsid w:val="00D543AF"/>
    <w:rsid w:val="00D54702"/>
    <w:rsid w:val="00D54A9D"/>
    <w:rsid w:val="00D54C7E"/>
    <w:rsid w:val="00D55195"/>
    <w:rsid w:val="00D561F2"/>
    <w:rsid w:val="00D56BD1"/>
    <w:rsid w:val="00D56FB0"/>
    <w:rsid w:val="00D576CD"/>
    <w:rsid w:val="00D60100"/>
    <w:rsid w:val="00D60CD1"/>
    <w:rsid w:val="00D614FC"/>
    <w:rsid w:val="00D616C5"/>
    <w:rsid w:val="00D61AE0"/>
    <w:rsid w:val="00D61B51"/>
    <w:rsid w:val="00D62FF3"/>
    <w:rsid w:val="00D63BE6"/>
    <w:rsid w:val="00D63C29"/>
    <w:rsid w:val="00D63E4B"/>
    <w:rsid w:val="00D63E6D"/>
    <w:rsid w:val="00D64289"/>
    <w:rsid w:val="00D6446E"/>
    <w:rsid w:val="00D6457D"/>
    <w:rsid w:val="00D64B9C"/>
    <w:rsid w:val="00D65147"/>
    <w:rsid w:val="00D6535E"/>
    <w:rsid w:val="00D656AC"/>
    <w:rsid w:val="00D658C2"/>
    <w:rsid w:val="00D65FFD"/>
    <w:rsid w:val="00D662BA"/>
    <w:rsid w:val="00D665B1"/>
    <w:rsid w:val="00D665CA"/>
    <w:rsid w:val="00D67C62"/>
    <w:rsid w:val="00D67F50"/>
    <w:rsid w:val="00D70360"/>
    <w:rsid w:val="00D70463"/>
    <w:rsid w:val="00D704B5"/>
    <w:rsid w:val="00D70D2B"/>
    <w:rsid w:val="00D71156"/>
    <w:rsid w:val="00D71AD8"/>
    <w:rsid w:val="00D71FC0"/>
    <w:rsid w:val="00D7210D"/>
    <w:rsid w:val="00D72362"/>
    <w:rsid w:val="00D723A8"/>
    <w:rsid w:val="00D728C5"/>
    <w:rsid w:val="00D72A15"/>
    <w:rsid w:val="00D72C63"/>
    <w:rsid w:val="00D731D0"/>
    <w:rsid w:val="00D73E87"/>
    <w:rsid w:val="00D744C6"/>
    <w:rsid w:val="00D74B39"/>
    <w:rsid w:val="00D753A7"/>
    <w:rsid w:val="00D755A3"/>
    <w:rsid w:val="00D75C07"/>
    <w:rsid w:val="00D75DE6"/>
    <w:rsid w:val="00D75E77"/>
    <w:rsid w:val="00D7604C"/>
    <w:rsid w:val="00D760CD"/>
    <w:rsid w:val="00D76692"/>
    <w:rsid w:val="00D766F7"/>
    <w:rsid w:val="00D76AC6"/>
    <w:rsid w:val="00D76E4A"/>
    <w:rsid w:val="00D77204"/>
    <w:rsid w:val="00D7736B"/>
    <w:rsid w:val="00D77431"/>
    <w:rsid w:val="00D774FA"/>
    <w:rsid w:val="00D77916"/>
    <w:rsid w:val="00D77A6A"/>
    <w:rsid w:val="00D77BCA"/>
    <w:rsid w:val="00D77C27"/>
    <w:rsid w:val="00D77CFD"/>
    <w:rsid w:val="00D8089B"/>
    <w:rsid w:val="00D80BE0"/>
    <w:rsid w:val="00D80E26"/>
    <w:rsid w:val="00D81483"/>
    <w:rsid w:val="00D81A25"/>
    <w:rsid w:val="00D81AA1"/>
    <w:rsid w:val="00D82B6E"/>
    <w:rsid w:val="00D8326C"/>
    <w:rsid w:val="00D833C2"/>
    <w:rsid w:val="00D83A23"/>
    <w:rsid w:val="00D83A78"/>
    <w:rsid w:val="00D83CF6"/>
    <w:rsid w:val="00D83D5C"/>
    <w:rsid w:val="00D84570"/>
    <w:rsid w:val="00D84B95"/>
    <w:rsid w:val="00D84E02"/>
    <w:rsid w:val="00D85855"/>
    <w:rsid w:val="00D85899"/>
    <w:rsid w:val="00D85D90"/>
    <w:rsid w:val="00D85F44"/>
    <w:rsid w:val="00D861DB"/>
    <w:rsid w:val="00D8627C"/>
    <w:rsid w:val="00D8674E"/>
    <w:rsid w:val="00D86944"/>
    <w:rsid w:val="00D86C5E"/>
    <w:rsid w:val="00D86D07"/>
    <w:rsid w:val="00D86DB0"/>
    <w:rsid w:val="00D86E05"/>
    <w:rsid w:val="00D876D8"/>
    <w:rsid w:val="00D8771B"/>
    <w:rsid w:val="00D878A8"/>
    <w:rsid w:val="00D90719"/>
    <w:rsid w:val="00D911CF"/>
    <w:rsid w:val="00D913AD"/>
    <w:rsid w:val="00D9187B"/>
    <w:rsid w:val="00D918DD"/>
    <w:rsid w:val="00D921BF"/>
    <w:rsid w:val="00D9223D"/>
    <w:rsid w:val="00D923F8"/>
    <w:rsid w:val="00D927B3"/>
    <w:rsid w:val="00D934F7"/>
    <w:rsid w:val="00D93621"/>
    <w:rsid w:val="00D93689"/>
    <w:rsid w:val="00D93CA3"/>
    <w:rsid w:val="00D93F75"/>
    <w:rsid w:val="00D942E8"/>
    <w:rsid w:val="00D94BB5"/>
    <w:rsid w:val="00D94EB5"/>
    <w:rsid w:val="00D94EE8"/>
    <w:rsid w:val="00D94EEA"/>
    <w:rsid w:val="00D94F00"/>
    <w:rsid w:val="00D952DE"/>
    <w:rsid w:val="00D953E0"/>
    <w:rsid w:val="00D954F1"/>
    <w:rsid w:val="00D956CE"/>
    <w:rsid w:val="00D96020"/>
    <w:rsid w:val="00D963B1"/>
    <w:rsid w:val="00D96800"/>
    <w:rsid w:val="00D97151"/>
    <w:rsid w:val="00D973A8"/>
    <w:rsid w:val="00D9758E"/>
    <w:rsid w:val="00D97784"/>
    <w:rsid w:val="00D97DB1"/>
    <w:rsid w:val="00D97F7A"/>
    <w:rsid w:val="00DA047C"/>
    <w:rsid w:val="00DA08B4"/>
    <w:rsid w:val="00DA0959"/>
    <w:rsid w:val="00DA0A73"/>
    <w:rsid w:val="00DA0A7F"/>
    <w:rsid w:val="00DA141A"/>
    <w:rsid w:val="00DA1FC0"/>
    <w:rsid w:val="00DA2210"/>
    <w:rsid w:val="00DA221A"/>
    <w:rsid w:val="00DA2369"/>
    <w:rsid w:val="00DA2A95"/>
    <w:rsid w:val="00DA2AA1"/>
    <w:rsid w:val="00DA2D2C"/>
    <w:rsid w:val="00DA3348"/>
    <w:rsid w:val="00DA39DF"/>
    <w:rsid w:val="00DA40F2"/>
    <w:rsid w:val="00DA4419"/>
    <w:rsid w:val="00DA459B"/>
    <w:rsid w:val="00DA4738"/>
    <w:rsid w:val="00DA4FA7"/>
    <w:rsid w:val="00DA52A2"/>
    <w:rsid w:val="00DA5CD8"/>
    <w:rsid w:val="00DA611C"/>
    <w:rsid w:val="00DA685F"/>
    <w:rsid w:val="00DA68F1"/>
    <w:rsid w:val="00DA69E4"/>
    <w:rsid w:val="00DA6AF1"/>
    <w:rsid w:val="00DA6F25"/>
    <w:rsid w:val="00DA704D"/>
    <w:rsid w:val="00DA7170"/>
    <w:rsid w:val="00DA72E8"/>
    <w:rsid w:val="00DA784E"/>
    <w:rsid w:val="00DB050D"/>
    <w:rsid w:val="00DB0662"/>
    <w:rsid w:val="00DB096A"/>
    <w:rsid w:val="00DB1324"/>
    <w:rsid w:val="00DB165F"/>
    <w:rsid w:val="00DB1987"/>
    <w:rsid w:val="00DB1DF3"/>
    <w:rsid w:val="00DB2F13"/>
    <w:rsid w:val="00DB30CC"/>
    <w:rsid w:val="00DB3262"/>
    <w:rsid w:val="00DB32A3"/>
    <w:rsid w:val="00DB34D2"/>
    <w:rsid w:val="00DB3757"/>
    <w:rsid w:val="00DB388F"/>
    <w:rsid w:val="00DB3C5B"/>
    <w:rsid w:val="00DB41CB"/>
    <w:rsid w:val="00DB4427"/>
    <w:rsid w:val="00DB5076"/>
    <w:rsid w:val="00DB5ED2"/>
    <w:rsid w:val="00DB6296"/>
    <w:rsid w:val="00DB687B"/>
    <w:rsid w:val="00DB6F4C"/>
    <w:rsid w:val="00DC0038"/>
    <w:rsid w:val="00DC0225"/>
    <w:rsid w:val="00DC05FC"/>
    <w:rsid w:val="00DC0689"/>
    <w:rsid w:val="00DC09A0"/>
    <w:rsid w:val="00DC0FFB"/>
    <w:rsid w:val="00DC10E8"/>
    <w:rsid w:val="00DC13A8"/>
    <w:rsid w:val="00DC15C5"/>
    <w:rsid w:val="00DC1998"/>
    <w:rsid w:val="00DC2239"/>
    <w:rsid w:val="00DC24E1"/>
    <w:rsid w:val="00DC259A"/>
    <w:rsid w:val="00DC26FE"/>
    <w:rsid w:val="00DC2F73"/>
    <w:rsid w:val="00DC32DD"/>
    <w:rsid w:val="00DC365C"/>
    <w:rsid w:val="00DC378C"/>
    <w:rsid w:val="00DC3EF6"/>
    <w:rsid w:val="00DC4A69"/>
    <w:rsid w:val="00DC4CFD"/>
    <w:rsid w:val="00DC504D"/>
    <w:rsid w:val="00DC540D"/>
    <w:rsid w:val="00DC5419"/>
    <w:rsid w:val="00DC560E"/>
    <w:rsid w:val="00DC5C75"/>
    <w:rsid w:val="00DC61F0"/>
    <w:rsid w:val="00DC6452"/>
    <w:rsid w:val="00DC6E1B"/>
    <w:rsid w:val="00DC700D"/>
    <w:rsid w:val="00DC731D"/>
    <w:rsid w:val="00DC7535"/>
    <w:rsid w:val="00DC7B7F"/>
    <w:rsid w:val="00DD0376"/>
    <w:rsid w:val="00DD0958"/>
    <w:rsid w:val="00DD0AA3"/>
    <w:rsid w:val="00DD113B"/>
    <w:rsid w:val="00DD17BA"/>
    <w:rsid w:val="00DD1932"/>
    <w:rsid w:val="00DD1B5D"/>
    <w:rsid w:val="00DD1CA7"/>
    <w:rsid w:val="00DD2137"/>
    <w:rsid w:val="00DD2173"/>
    <w:rsid w:val="00DD2642"/>
    <w:rsid w:val="00DD32A3"/>
    <w:rsid w:val="00DD3503"/>
    <w:rsid w:val="00DD36F8"/>
    <w:rsid w:val="00DD3B2B"/>
    <w:rsid w:val="00DD43B2"/>
    <w:rsid w:val="00DD5362"/>
    <w:rsid w:val="00DD57F8"/>
    <w:rsid w:val="00DD597D"/>
    <w:rsid w:val="00DD6118"/>
    <w:rsid w:val="00DD6186"/>
    <w:rsid w:val="00DD6A54"/>
    <w:rsid w:val="00DD6B7B"/>
    <w:rsid w:val="00DD6C05"/>
    <w:rsid w:val="00DD723E"/>
    <w:rsid w:val="00DD7324"/>
    <w:rsid w:val="00DD77CC"/>
    <w:rsid w:val="00DD7B21"/>
    <w:rsid w:val="00DD7E1A"/>
    <w:rsid w:val="00DE08D7"/>
    <w:rsid w:val="00DE0CBD"/>
    <w:rsid w:val="00DE13AD"/>
    <w:rsid w:val="00DE1F8C"/>
    <w:rsid w:val="00DE215F"/>
    <w:rsid w:val="00DE2355"/>
    <w:rsid w:val="00DE2419"/>
    <w:rsid w:val="00DE2475"/>
    <w:rsid w:val="00DE2AE7"/>
    <w:rsid w:val="00DE33A7"/>
    <w:rsid w:val="00DE33EF"/>
    <w:rsid w:val="00DE357B"/>
    <w:rsid w:val="00DE3712"/>
    <w:rsid w:val="00DE3D9D"/>
    <w:rsid w:val="00DE4039"/>
    <w:rsid w:val="00DE41F1"/>
    <w:rsid w:val="00DE4310"/>
    <w:rsid w:val="00DE433F"/>
    <w:rsid w:val="00DE4761"/>
    <w:rsid w:val="00DE4B5A"/>
    <w:rsid w:val="00DE4FA3"/>
    <w:rsid w:val="00DE501C"/>
    <w:rsid w:val="00DE576A"/>
    <w:rsid w:val="00DE5F60"/>
    <w:rsid w:val="00DE6AF1"/>
    <w:rsid w:val="00DE6F30"/>
    <w:rsid w:val="00DE7499"/>
    <w:rsid w:val="00DE7637"/>
    <w:rsid w:val="00DE78DA"/>
    <w:rsid w:val="00DE7AC1"/>
    <w:rsid w:val="00DE7D46"/>
    <w:rsid w:val="00DF02DB"/>
    <w:rsid w:val="00DF044C"/>
    <w:rsid w:val="00DF0470"/>
    <w:rsid w:val="00DF08CE"/>
    <w:rsid w:val="00DF0AAD"/>
    <w:rsid w:val="00DF1248"/>
    <w:rsid w:val="00DF16C7"/>
    <w:rsid w:val="00DF172A"/>
    <w:rsid w:val="00DF1D89"/>
    <w:rsid w:val="00DF2482"/>
    <w:rsid w:val="00DF2924"/>
    <w:rsid w:val="00DF2DC0"/>
    <w:rsid w:val="00DF3254"/>
    <w:rsid w:val="00DF3CCE"/>
    <w:rsid w:val="00DF4E06"/>
    <w:rsid w:val="00DF4FC6"/>
    <w:rsid w:val="00DF50B6"/>
    <w:rsid w:val="00DF516E"/>
    <w:rsid w:val="00DF556E"/>
    <w:rsid w:val="00DF59BD"/>
    <w:rsid w:val="00DF5CB5"/>
    <w:rsid w:val="00DF6139"/>
    <w:rsid w:val="00DF6297"/>
    <w:rsid w:val="00DF62C1"/>
    <w:rsid w:val="00DF6F98"/>
    <w:rsid w:val="00DF7024"/>
    <w:rsid w:val="00DF734A"/>
    <w:rsid w:val="00DF7755"/>
    <w:rsid w:val="00DF778C"/>
    <w:rsid w:val="00DF787E"/>
    <w:rsid w:val="00E0035B"/>
    <w:rsid w:val="00E0072B"/>
    <w:rsid w:val="00E00BC8"/>
    <w:rsid w:val="00E00DE5"/>
    <w:rsid w:val="00E01789"/>
    <w:rsid w:val="00E018EF"/>
    <w:rsid w:val="00E01C1E"/>
    <w:rsid w:val="00E022BE"/>
    <w:rsid w:val="00E025FB"/>
    <w:rsid w:val="00E02699"/>
    <w:rsid w:val="00E0275D"/>
    <w:rsid w:val="00E02B5A"/>
    <w:rsid w:val="00E03297"/>
    <w:rsid w:val="00E03F40"/>
    <w:rsid w:val="00E04194"/>
    <w:rsid w:val="00E04306"/>
    <w:rsid w:val="00E0471F"/>
    <w:rsid w:val="00E04A87"/>
    <w:rsid w:val="00E04E31"/>
    <w:rsid w:val="00E05224"/>
    <w:rsid w:val="00E0582E"/>
    <w:rsid w:val="00E05AB6"/>
    <w:rsid w:val="00E06467"/>
    <w:rsid w:val="00E067ED"/>
    <w:rsid w:val="00E06CDC"/>
    <w:rsid w:val="00E06F84"/>
    <w:rsid w:val="00E070C1"/>
    <w:rsid w:val="00E07F18"/>
    <w:rsid w:val="00E102BD"/>
    <w:rsid w:val="00E106A9"/>
    <w:rsid w:val="00E10BDD"/>
    <w:rsid w:val="00E110DD"/>
    <w:rsid w:val="00E11797"/>
    <w:rsid w:val="00E11EE7"/>
    <w:rsid w:val="00E124BD"/>
    <w:rsid w:val="00E134DF"/>
    <w:rsid w:val="00E136F5"/>
    <w:rsid w:val="00E13D6E"/>
    <w:rsid w:val="00E13F29"/>
    <w:rsid w:val="00E13FAF"/>
    <w:rsid w:val="00E1417E"/>
    <w:rsid w:val="00E141E1"/>
    <w:rsid w:val="00E14447"/>
    <w:rsid w:val="00E14935"/>
    <w:rsid w:val="00E14D41"/>
    <w:rsid w:val="00E1520B"/>
    <w:rsid w:val="00E1543F"/>
    <w:rsid w:val="00E154AD"/>
    <w:rsid w:val="00E158E9"/>
    <w:rsid w:val="00E15AB6"/>
    <w:rsid w:val="00E1669A"/>
    <w:rsid w:val="00E16A6F"/>
    <w:rsid w:val="00E16C95"/>
    <w:rsid w:val="00E1713C"/>
    <w:rsid w:val="00E17223"/>
    <w:rsid w:val="00E17B41"/>
    <w:rsid w:val="00E17F84"/>
    <w:rsid w:val="00E203F7"/>
    <w:rsid w:val="00E20EEC"/>
    <w:rsid w:val="00E20EF4"/>
    <w:rsid w:val="00E211E9"/>
    <w:rsid w:val="00E21385"/>
    <w:rsid w:val="00E214D4"/>
    <w:rsid w:val="00E218AF"/>
    <w:rsid w:val="00E219D6"/>
    <w:rsid w:val="00E21BC5"/>
    <w:rsid w:val="00E2209A"/>
    <w:rsid w:val="00E227AC"/>
    <w:rsid w:val="00E23F66"/>
    <w:rsid w:val="00E24049"/>
    <w:rsid w:val="00E24E00"/>
    <w:rsid w:val="00E24E76"/>
    <w:rsid w:val="00E24E97"/>
    <w:rsid w:val="00E24F6D"/>
    <w:rsid w:val="00E26416"/>
    <w:rsid w:val="00E26631"/>
    <w:rsid w:val="00E26783"/>
    <w:rsid w:val="00E26ACD"/>
    <w:rsid w:val="00E26E3E"/>
    <w:rsid w:val="00E3002E"/>
    <w:rsid w:val="00E301DF"/>
    <w:rsid w:val="00E30414"/>
    <w:rsid w:val="00E30B0C"/>
    <w:rsid w:val="00E30B6B"/>
    <w:rsid w:val="00E30CFF"/>
    <w:rsid w:val="00E31722"/>
    <w:rsid w:val="00E31F2F"/>
    <w:rsid w:val="00E32251"/>
    <w:rsid w:val="00E32962"/>
    <w:rsid w:val="00E32BE2"/>
    <w:rsid w:val="00E330CD"/>
    <w:rsid w:val="00E3317F"/>
    <w:rsid w:val="00E335A8"/>
    <w:rsid w:val="00E337CC"/>
    <w:rsid w:val="00E33A81"/>
    <w:rsid w:val="00E34410"/>
    <w:rsid w:val="00E34474"/>
    <w:rsid w:val="00E34A98"/>
    <w:rsid w:val="00E34BC2"/>
    <w:rsid w:val="00E34ECE"/>
    <w:rsid w:val="00E3508E"/>
    <w:rsid w:val="00E35182"/>
    <w:rsid w:val="00E358C9"/>
    <w:rsid w:val="00E35A0F"/>
    <w:rsid w:val="00E35B3F"/>
    <w:rsid w:val="00E36049"/>
    <w:rsid w:val="00E361A0"/>
    <w:rsid w:val="00E36494"/>
    <w:rsid w:val="00E36644"/>
    <w:rsid w:val="00E370DA"/>
    <w:rsid w:val="00E37157"/>
    <w:rsid w:val="00E377D0"/>
    <w:rsid w:val="00E37B16"/>
    <w:rsid w:val="00E37C3F"/>
    <w:rsid w:val="00E37C42"/>
    <w:rsid w:val="00E37F70"/>
    <w:rsid w:val="00E40A20"/>
    <w:rsid w:val="00E40A83"/>
    <w:rsid w:val="00E411A0"/>
    <w:rsid w:val="00E41C24"/>
    <w:rsid w:val="00E41D20"/>
    <w:rsid w:val="00E4251B"/>
    <w:rsid w:val="00E426A0"/>
    <w:rsid w:val="00E4283D"/>
    <w:rsid w:val="00E4293B"/>
    <w:rsid w:val="00E429C0"/>
    <w:rsid w:val="00E42F75"/>
    <w:rsid w:val="00E43B64"/>
    <w:rsid w:val="00E43EFC"/>
    <w:rsid w:val="00E43F04"/>
    <w:rsid w:val="00E445B4"/>
    <w:rsid w:val="00E446F0"/>
    <w:rsid w:val="00E45201"/>
    <w:rsid w:val="00E453E5"/>
    <w:rsid w:val="00E459AF"/>
    <w:rsid w:val="00E4643C"/>
    <w:rsid w:val="00E46640"/>
    <w:rsid w:val="00E4699B"/>
    <w:rsid w:val="00E46D43"/>
    <w:rsid w:val="00E46E0D"/>
    <w:rsid w:val="00E471E7"/>
    <w:rsid w:val="00E47227"/>
    <w:rsid w:val="00E47B8D"/>
    <w:rsid w:val="00E47E50"/>
    <w:rsid w:val="00E47F64"/>
    <w:rsid w:val="00E50482"/>
    <w:rsid w:val="00E50B08"/>
    <w:rsid w:val="00E50B41"/>
    <w:rsid w:val="00E51DC8"/>
    <w:rsid w:val="00E52109"/>
    <w:rsid w:val="00E52561"/>
    <w:rsid w:val="00E52571"/>
    <w:rsid w:val="00E52CE5"/>
    <w:rsid w:val="00E52E75"/>
    <w:rsid w:val="00E539B6"/>
    <w:rsid w:val="00E53AC1"/>
    <w:rsid w:val="00E53CE0"/>
    <w:rsid w:val="00E53E92"/>
    <w:rsid w:val="00E54810"/>
    <w:rsid w:val="00E54936"/>
    <w:rsid w:val="00E54BA5"/>
    <w:rsid w:val="00E553C3"/>
    <w:rsid w:val="00E55E14"/>
    <w:rsid w:val="00E57BC5"/>
    <w:rsid w:val="00E57E94"/>
    <w:rsid w:val="00E60025"/>
    <w:rsid w:val="00E605D1"/>
    <w:rsid w:val="00E60693"/>
    <w:rsid w:val="00E60BB2"/>
    <w:rsid w:val="00E61448"/>
    <w:rsid w:val="00E6219A"/>
    <w:rsid w:val="00E623DE"/>
    <w:rsid w:val="00E62423"/>
    <w:rsid w:val="00E62A5A"/>
    <w:rsid w:val="00E62F3E"/>
    <w:rsid w:val="00E630AD"/>
    <w:rsid w:val="00E63244"/>
    <w:rsid w:val="00E63680"/>
    <w:rsid w:val="00E639E3"/>
    <w:rsid w:val="00E64269"/>
    <w:rsid w:val="00E646E3"/>
    <w:rsid w:val="00E64A4E"/>
    <w:rsid w:val="00E66087"/>
    <w:rsid w:val="00E665D5"/>
    <w:rsid w:val="00E66787"/>
    <w:rsid w:val="00E668EB"/>
    <w:rsid w:val="00E670FD"/>
    <w:rsid w:val="00E6784B"/>
    <w:rsid w:val="00E67FC1"/>
    <w:rsid w:val="00E7004B"/>
    <w:rsid w:val="00E70391"/>
    <w:rsid w:val="00E712B9"/>
    <w:rsid w:val="00E713C4"/>
    <w:rsid w:val="00E7184E"/>
    <w:rsid w:val="00E7220E"/>
    <w:rsid w:val="00E72DA8"/>
    <w:rsid w:val="00E7323A"/>
    <w:rsid w:val="00E736B2"/>
    <w:rsid w:val="00E73764"/>
    <w:rsid w:val="00E73B18"/>
    <w:rsid w:val="00E7447C"/>
    <w:rsid w:val="00E744D5"/>
    <w:rsid w:val="00E7580C"/>
    <w:rsid w:val="00E75D78"/>
    <w:rsid w:val="00E76630"/>
    <w:rsid w:val="00E76ABD"/>
    <w:rsid w:val="00E77D09"/>
    <w:rsid w:val="00E77DE1"/>
    <w:rsid w:val="00E804E6"/>
    <w:rsid w:val="00E805AF"/>
    <w:rsid w:val="00E80809"/>
    <w:rsid w:val="00E80AC1"/>
    <w:rsid w:val="00E810FF"/>
    <w:rsid w:val="00E8142D"/>
    <w:rsid w:val="00E81EE3"/>
    <w:rsid w:val="00E8224E"/>
    <w:rsid w:val="00E828E0"/>
    <w:rsid w:val="00E83135"/>
    <w:rsid w:val="00E833BC"/>
    <w:rsid w:val="00E8369D"/>
    <w:rsid w:val="00E839C2"/>
    <w:rsid w:val="00E839E0"/>
    <w:rsid w:val="00E845BB"/>
    <w:rsid w:val="00E85047"/>
    <w:rsid w:val="00E85903"/>
    <w:rsid w:val="00E85936"/>
    <w:rsid w:val="00E85EC4"/>
    <w:rsid w:val="00E86346"/>
    <w:rsid w:val="00E869C9"/>
    <w:rsid w:val="00E86B2B"/>
    <w:rsid w:val="00E908AF"/>
    <w:rsid w:val="00E91ECB"/>
    <w:rsid w:val="00E92075"/>
    <w:rsid w:val="00E92087"/>
    <w:rsid w:val="00E92823"/>
    <w:rsid w:val="00E9323C"/>
    <w:rsid w:val="00E93D41"/>
    <w:rsid w:val="00E940E4"/>
    <w:rsid w:val="00E94643"/>
    <w:rsid w:val="00E9464B"/>
    <w:rsid w:val="00E94EFE"/>
    <w:rsid w:val="00E9551D"/>
    <w:rsid w:val="00E95873"/>
    <w:rsid w:val="00E95FE5"/>
    <w:rsid w:val="00E96027"/>
    <w:rsid w:val="00E960D9"/>
    <w:rsid w:val="00E96758"/>
    <w:rsid w:val="00E96A8E"/>
    <w:rsid w:val="00E96BF7"/>
    <w:rsid w:val="00E96D16"/>
    <w:rsid w:val="00E96EA3"/>
    <w:rsid w:val="00E96ECF"/>
    <w:rsid w:val="00E976FF"/>
    <w:rsid w:val="00E97F12"/>
    <w:rsid w:val="00EA0B33"/>
    <w:rsid w:val="00EA0DB1"/>
    <w:rsid w:val="00EA1863"/>
    <w:rsid w:val="00EA1A25"/>
    <w:rsid w:val="00EA1B71"/>
    <w:rsid w:val="00EA204C"/>
    <w:rsid w:val="00EA20B2"/>
    <w:rsid w:val="00EA28DD"/>
    <w:rsid w:val="00EA2AF1"/>
    <w:rsid w:val="00EA2C90"/>
    <w:rsid w:val="00EA2FD6"/>
    <w:rsid w:val="00EA3114"/>
    <w:rsid w:val="00EA343A"/>
    <w:rsid w:val="00EA3D06"/>
    <w:rsid w:val="00EA3DAB"/>
    <w:rsid w:val="00EA47BF"/>
    <w:rsid w:val="00EA5832"/>
    <w:rsid w:val="00EA585D"/>
    <w:rsid w:val="00EA5974"/>
    <w:rsid w:val="00EA5E96"/>
    <w:rsid w:val="00EA65BA"/>
    <w:rsid w:val="00EA68FC"/>
    <w:rsid w:val="00EA6C3B"/>
    <w:rsid w:val="00EA71B6"/>
    <w:rsid w:val="00EA783A"/>
    <w:rsid w:val="00EB03AE"/>
    <w:rsid w:val="00EB0A92"/>
    <w:rsid w:val="00EB0E5E"/>
    <w:rsid w:val="00EB1486"/>
    <w:rsid w:val="00EB1A68"/>
    <w:rsid w:val="00EB21EC"/>
    <w:rsid w:val="00EB23FD"/>
    <w:rsid w:val="00EB2A2C"/>
    <w:rsid w:val="00EB3304"/>
    <w:rsid w:val="00EB36DD"/>
    <w:rsid w:val="00EB4143"/>
    <w:rsid w:val="00EB4D9C"/>
    <w:rsid w:val="00EB552B"/>
    <w:rsid w:val="00EB5907"/>
    <w:rsid w:val="00EB5D38"/>
    <w:rsid w:val="00EB5F06"/>
    <w:rsid w:val="00EB61CB"/>
    <w:rsid w:val="00EB643D"/>
    <w:rsid w:val="00EB6DDE"/>
    <w:rsid w:val="00EB705B"/>
    <w:rsid w:val="00EB722D"/>
    <w:rsid w:val="00EB73E0"/>
    <w:rsid w:val="00EB77E5"/>
    <w:rsid w:val="00EC016A"/>
    <w:rsid w:val="00EC042F"/>
    <w:rsid w:val="00EC06FD"/>
    <w:rsid w:val="00EC0BA1"/>
    <w:rsid w:val="00EC0FBC"/>
    <w:rsid w:val="00EC1805"/>
    <w:rsid w:val="00EC1D40"/>
    <w:rsid w:val="00EC1E19"/>
    <w:rsid w:val="00EC1E36"/>
    <w:rsid w:val="00EC298D"/>
    <w:rsid w:val="00EC2ADB"/>
    <w:rsid w:val="00EC3989"/>
    <w:rsid w:val="00EC3B1A"/>
    <w:rsid w:val="00EC3FC9"/>
    <w:rsid w:val="00EC4654"/>
    <w:rsid w:val="00EC4BF4"/>
    <w:rsid w:val="00EC57ED"/>
    <w:rsid w:val="00EC58F8"/>
    <w:rsid w:val="00EC5CD9"/>
    <w:rsid w:val="00EC5E40"/>
    <w:rsid w:val="00EC5F54"/>
    <w:rsid w:val="00EC66CB"/>
    <w:rsid w:val="00EC7716"/>
    <w:rsid w:val="00EC77F6"/>
    <w:rsid w:val="00EC7F6B"/>
    <w:rsid w:val="00ED006C"/>
    <w:rsid w:val="00ED0AE0"/>
    <w:rsid w:val="00ED0E99"/>
    <w:rsid w:val="00ED0EB1"/>
    <w:rsid w:val="00ED10C2"/>
    <w:rsid w:val="00ED13F0"/>
    <w:rsid w:val="00ED17E7"/>
    <w:rsid w:val="00ED2096"/>
    <w:rsid w:val="00ED2B8C"/>
    <w:rsid w:val="00ED318D"/>
    <w:rsid w:val="00ED3C02"/>
    <w:rsid w:val="00ED3C4D"/>
    <w:rsid w:val="00ED3C5E"/>
    <w:rsid w:val="00ED3D86"/>
    <w:rsid w:val="00ED4769"/>
    <w:rsid w:val="00ED4A29"/>
    <w:rsid w:val="00ED4A4C"/>
    <w:rsid w:val="00ED4F46"/>
    <w:rsid w:val="00ED545E"/>
    <w:rsid w:val="00ED5E0C"/>
    <w:rsid w:val="00ED6229"/>
    <w:rsid w:val="00ED627B"/>
    <w:rsid w:val="00ED68BA"/>
    <w:rsid w:val="00ED692F"/>
    <w:rsid w:val="00ED6AF1"/>
    <w:rsid w:val="00ED780F"/>
    <w:rsid w:val="00ED7B53"/>
    <w:rsid w:val="00ED7C2C"/>
    <w:rsid w:val="00EE006D"/>
    <w:rsid w:val="00EE0415"/>
    <w:rsid w:val="00EE0F5E"/>
    <w:rsid w:val="00EE1274"/>
    <w:rsid w:val="00EE12E1"/>
    <w:rsid w:val="00EE154E"/>
    <w:rsid w:val="00EE1B28"/>
    <w:rsid w:val="00EE1ED2"/>
    <w:rsid w:val="00EE2386"/>
    <w:rsid w:val="00EE2CE7"/>
    <w:rsid w:val="00EE3F6F"/>
    <w:rsid w:val="00EE4AE1"/>
    <w:rsid w:val="00EE5239"/>
    <w:rsid w:val="00EE5781"/>
    <w:rsid w:val="00EE5979"/>
    <w:rsid w:val="00EE5984"/>
    <w:rsid w:val="00EE61CB"/>
    <w:rsid w:val="00EE6E86"/>
    <w:rsid w:val="00EE6FF6"/>
    <w:rsid w:val="00EE7081"/>
    <w:rsid w:val="00EE760D"/>
    <w:rsid w:val="00EE7B0D"/>
    <w:rsid w:val="00EE7EC7"/>
    <w:rsid w:val="00EE7F15"/>
    <w:rsid w:val="00EE7F5F"/>
    <w:rsid w:val="00EE7FFA"/>
    <w:rsid w:val="00EF06CE"/>
    <w:rsid w:val="00EF0889"/>
    <w:rsid w:val="00EF0BB0"/>
    <w:rsid w:val="00EF1694"/>
    <w:rsid w:val="00EF1C46"/>
    <w:rsid w:val="00EF2285"/>
    <w:rsid w:val="00EF2836"/>
    <w:rsid w:val="00EF2898"/>
    <w:rsid w:val="00EF2C29"/>
    <w:rsid w:val="00EF2E35"/>
    <w:rsid w:val="00EF2EA5"/>
    <w:rsid w:val="00EF2F16"/>
    <w:rsid w:val="00EF3473"/>
    <w:rsid w:val="00EF366A"/>
    <w:rsid w:val="00EF3680"/>
    <w:rsid w:val="00EF3D93"/>
    <w:rsid w:val="00EF3EF2"/>
    <w:rsid w:val="00EF3F86"/>
    <w:rsid w:val="00EF4254"/>
    <w:rsid w:val="00EF470B"/>
    <w:rsid w:val="00EF48BF"/>
    <w:rsid w:val="00EF526F"/>
    <w:rsid w:val="00EF5371"/>
    <w:rsid w:val="00EF5A9D"/>
    <w:rsid w:val="00EF5C8F"/>
    <w:rsid w:val="00EF66CC"/>
    <w:rsid w:val="00EF6FFA"/>
    <w:rsid w:val="00EF7580"/>
    <w:rsid w:val="00EF79DA"/>
    <w:rsid w:val="00EF7D2C"/>
    <w:rsid w:val="00F00309"/>
    <w:rsid w:val="00F00995"/>
    <w:rsid w:val="00F0225C"/>
    <w:rsid w:val="00F02E05"/>
    <w:rsid w:val="00F02F34"/>
    <w:rsid w:val="00F031BC"/>
    <w:rsid w:val="00F04B27"/>
    <w:rsid w:val="00F050B7"/>
    <w:rsid w:val="00F05992"/>
    <w:rsid w:val="00F05B5D"/>
    <w:rsid w:val="00F06653"/>
    <w:rsid w:val="00F0666E"/>
    <w:rsid w:val="00F066E6"/>
    <w:rsid w:val="00F06AA0"/>
    <w:rsid w:val="00F06BD8"/>
    <w:rsid w:val="00F07C6F"/>
    <w:rsid w:val="00F100DE"/>
    <w:rsid w:val="00F10136"/>
    <w:rsid w:val="00F10B6B"/>
    <w:rsid w:val="00F10F66"/>
    <w:rsid w:val="00F11419"/>
    <w:rsid w:val="00F11567"/>
    <w:rsid w:val="00F11787"/>
    <w:rsid w:val="00F11A67"/>
    <w:rsid w:val="00F1226D"/>
    <w:rsid w:val="00F129DE"/>
    <w:rsid w:val="00F129E8"/>
    <w:rsid w:val="00F12A16"/>
    <w:rsid w:val="00F12B53"/>
    <w:rsid w:val="00F130BD"/>
    <w:rsid w:val="00F13776"/>
    <w:rsid w:val="00F13866"/>
    <w:rsid w:val="00F13B6B"/>
    <w:rsid w:val="00F13C3C"/>
    <w:rsid w:val="00F13C40"/>
    <w:rsid w:val="00F13C5E"/>
    <w:rsid w:val="00F1429A"/>
    <w:rsid w:val="00F144BB"/>
    <w:rsid w:val="00F14678"/>
    <w:rsid w:val="00F147F7"/>
    <w:rsid w:val="00F14AEE"/>
    <w:rsid w:val="00F15F2F"/>
    <w:rsid w:val="00F16160"/>
    <w:rsid w:val="00F1645A"/>
    <w:rsid w:val="00F164AD"/>
    <w:rsid w:val="00F1656D"/>
    <w:rsid w:val="00F172DB"/>
    <w:rsid w:val="00F1740C"/>
    <w:rsid w:val="00F17733"/>
    <w:rsid w:val="00F177ED"/>
    <w:rsid w:val="00F2040B"/>
    <w:rsid w:val="00F207B9"/>
    <w:rsid w:val="00F2119E"/>
    <w:rsid w:val="00F2124D"/>
    <w:rsid w:val="00F2140F"/>
    <w:rsid w:val="00F21525"/>
    <w:rsid w:val="00F21EB9"/>
    <w:rsid w:val="00F228B1"/>
    <w:rsid w:val="00F22D04"/>
    <w:rsid w:val="00F22E5B"/>
    <w:rsid w:val="00F230C9"/>
    <w:rsid w:val="00F235C1"/>
    <w:rsid w:val="00F23BB6"/>
    <w:rsid w:val="00F23CD0"/>
    <w:rsid w:val="00F244D2"/>
    <w:rsid w:val="00F2465F"/>
    <w:rsid w:val="00F248F2"/>
    <w:rsid w:val="00F2506F"/>
    <w:rsid w:val="00F25E39"/>
    <w:rsid w:val="00F2626D"/>
    <w:rsid w:val="00F26323"/>
    <w:rsid w:val="00F26860"/>
    <w:rsid w:val="00F27538"/>
    <w:rsid w:val="00F2759B"/>
    <w:rsid w:val="00F2768E"/>
    <w:rsid w:val="00F276E2"/>
    <w:rsid w:val="00F3022C"/>
    <w:rsid w:val="00F303F3"/>
    <w:rsid w:val="00F307CB"/>
    <w:rsid w:val="00F30B54"/>
    <w:rsid w:val="00F30E45"/>
    <w:rsid w:val="00F311AE"/>
    <w:rsid w:val="00F314F2"/>
    <w:rsid w:val="00F3184C"/>
    <w:rsid w:val="00F31A93"/>
    <w:rsid w:val="00F325B4"/>
    <w:rsid w:val="00F33263"/>
    <w:rsid w:val="00F33327"/>
    <w:rsid w:val="00F33A69"/>
    <w:rsid w:val="00F34093"/>
    <w:rsid w:val="00F34095"/>
    <w:rsid w:val="00F342BD"/>
    <w:rsid w:val="00F34803"/>
    <w:rsid w:val="00F34A1C"/>
    <w:rsid w:val="00F34B75"/>
    <w:rsid w:val="00F34DAC"/>
    <w:rsid w:val="00F35442"/>
    <w:rsid w:val="00F35524"/>
    <w:rsid w:val="00F355E0"/>
    <w:rsid w:val="00F36182"/>
    <w:rsid w:val="00F36434"/>
    <w:rsid w:val="00F364C3"/>
    <w:rsid w:val="00F3734B"/>
    <w:rsid w:val="00F40361"/>
    <w:rsid w:val="00F40866"/>
    <w:rsid w:val="00F40997"/>
    <w:rsid w:val="00F40A3E"/>
    <w:rsid w:val="00F40DD5"/>
    <w:rsid w:val="00F413D1"/>
    <w:rsid w:val="00F416E9"/>
    <w:rsid w:val="00F421DF"/>
    <w:rsid w:val="00F42600"/>
    <w:rsid w:val="00F42EAB"/>
    <w:rsid w:val="00F42F23"/>
    <w:rsid w:val="00F445BC"/>
    <w:rsid w:val="00F449CA"/>
    <w:rsid w:val="00F44AFB"/>
    <w:rsid w:val="00F44B5D"/>
    <w:rsid w:val="00F44D11"/>
    <w:rsid w:val="00F45229"/>
    <w:rsid w:val="00F45276"/>
    <w:rsid w:val="00F4596A"/>
    <w:rsid w:val="00F4628D"/>
    <w:rsid w:val="00F46545"/>
    <w:rsid w:val="00F46BEB"/>
    <w:rsid w:val="00F4771C"/>
    <w:rsid w:val="00F478C9"/>
    <w:rsid w:val="00F478F3"/>
    <w:rsid w:val="00F47BF9"/>
    <w:rsid w:val="00F5033A"/>
    <w:rsid w:val="00F504ED"/>
    <w:rsid w:val="00F50501"/>
    <w:rsid w:val="00F50895"/>
    <w:rsid w:val="00F50A6E"/>
    <w:rsid w:val="00F50B99"/>
    <w:rsid w:val="00F5117B"/>
    <w:rsid w:val="00F51921"/>
    <w:rsid w:val="00F51F39"/>
    <w:rsid w:val="00F52292"/>
    <w:rsid w:val="00F52988"/>
    <w:rsid w:val="00F52AE5"/>
    <w:rsid w:val="00F531C7"/>
    <w:rsid w:val="00F533E4"/>
    <w:rsid w:val="00F53481"/>
    <w:rsid w:val="00F53870"/>
    <w:rsid w:val="00F5389B"/>
    <w:rsid w:val="00F53AD9"/>
    <w:rsid w:val="00F53B4A"/>
    <w:rsid w:val="00F53BDF"/>
    <w:rsid w:val="00F53C4C"/>
    <w:rsid w:val="00F53E60"/>
    <w:rsid w:val="00F54262"/>
    <w:rsid w:val="00F54545"/>
    <w:rsid w:val="00F548F3"/>
    <w:rsid w:val="00F54BB8"/>
    <w:rsid w:val="00F54C64"/>
    <w:rsid w:val="00F54E46"/>
    <w:rsid w:val="00F5555E"/>
    <w:rsid w:val="00F561D0"/>
    <w:rsid w:val="00F562A3"/>
    <w:rsid w:val="00F56713"/>
    <w:rsid w:val="00F57305"/>
    <w:rsid w:val="00F57ACA"/>
    <w:rsid w:val="00F57CB1"/>
    <w:rsid w:val="00F60205"/>
    <w:rsid w:val="00F6035C"/>
    <w:rsid w:val="00F60F6E"/>
    <w:rsid w:val="00F61027"/>
    <w:rsid w:val="00F6133C"/>
    <w:rsid w:val="00F61957"/>
    <w:rsid w:val="00F61980"/>
    <w:rsid w:val="00F61D19"/>
    <w:rsid w:val="00F6239D"/>
    <w:rsid w:val="00F62CC2"/>
    <w:rsid w:val="00F63255"/>
    <w:rsid w:val="00F63888"/>
    <w:rsid w:val="00F63C8B"/>
    <w:rsid w:val="00F63E28"/>
    <w:rsid w:val="00F646F4"/>
    <w:rsid w:val="00F65241"/>
    <w:rsid w:val="00F65C98"/>
    <w:rsid w:val="00F66B77"/>
    <w:rsid w:val="00F66BA2"/>
    <w:rsid w:val="00F66F7C"/>
    <w:rsid w:val="00F6737B"/>
    <w:rsid w:val="00F6771B"/>
    <w:rsid w:val="00F67EB4"/>
    <w:rsid w:val="00F70C86"/>
    <w:rsid w:val="00F71A8D"/>
    <w:rsid w:val="00F71D6E"/>
    <w:rsid w:val="00F71E37"/>
    <w:rsid w:val="00F733C7"/>
    <w:rsid w:val="00F7341A"/>
    <w:rsid w:val="00F73960"/>
    <w:rsid w:val="00F73BDD"/>
    <w:rsid w:val="00F73C0E"/>
    <w:rsid w:val="00F73E99"/>
    <w:rsid w:val="00F7463B"/>
    <w:rsid w:val="00F746C8"/>
    <w:rsid w:val="00F74888"/>
    <w:rsid w:val="00F74C09"/>
    <w:rsid w:val="00F74E04"/>
    <w:rsid w:val="00F74FBA"/>
    <w:rsid w:val="00F76334"/>
    <w:rsid w:val="00F765F0"/>
    <w:rsid w:val="00F76C24"/>
    <w:rsid w:val="00F7709C"/>
    <w:rsid w:val="00F771A3"/>
    <w:rsid w:val="00F774E6"/>
    <w:rsid w:val="00F7750F"/>
    <w:rsid w:val="00F77A43"/>
    <w:rsid w:val="00F77C76"/>
    <w:rsid w:val="00F77CBC"/>
    <w:rsid w:val="00F7F04C"/>
    <w:rsid w:val="00F806F0"/>
    <w:rsid w:val="00F810FE"/>
    <w:rsid w:val="00F8144C"/>
    <w:rsid w:val="00F814C2"/>
    <w:rsid w:val="00F81D3A"/>
    <w:rsid w:val="00F828D1"/>
    <w:rsid w:val="00F82CB3"/>
    <w:rsid w:val="00F82E04"/>
    <w:rsid w:val="00F8405D"/>
    <w:rsid w:val="00F841E5"/>
    <w:rsid w:val="00F846FC"/>
    <w:rsid w:val="00F84D96"/>
    <w:rsid w:val="00F857F6"/>
    <w:rsid w:val="00F86001"/>
    <w:rsid w:val="00F86302"/>
    <w:rsid w:val="00F871CE"/>
    <w:rsid w:val="00F872FD"/>
    <w:rsid w:val="00F8730A"/>
    <w:rsid w:val="00F87D69"/>
    <w:rsid w:val="00F87EAA"/>
    <w:rsid w:val="00F90625"/>
    <w:rsid w:val="00F909EA"/>
    <w:rsid w:val="00F90A76"/>
    <w:rsid w:val="00F917E7"/>
    <w:rsid w:val="00F91947"/>
    <w:rsid w:val="00F919BE"/>
    <w:rsid w:val="00F91BE2"/>
    <w:rsid w:val="00F92522"/>
    <w:rsid w:val="00F92C66"/>
    <w:rsid w:val="00F93256"/>
    <w:rsid w:val="00F93A97"/>
    <w:rsid w:val="00F93C97"/>
    <w:rsid w:val="00F93F45"/>
    <w:rsid w:val="00F947A1"/>
    <w:rsid w:val="00F95308"/>
    <w:rsid w:val="00F9545A"/>
    <w:rsid w:val="00F965DB"/>
    <w:rsid w:val="00F96BC9"/>
    <w:rsid w:val="00F97A2A"/>
    <w:rsid w:val="00FA0109"/>
    <w:rsid w:val="00FA0455"/>
    <w:rsid w:val="00FA0F02"/>
    <w:rsid w:val="00FA164C"/>
    <w:rsid w:val="00FA2523"/>
    <w:rsid w:val="00FA2904"/>
    <w:rsid w:val="00FA2D45"/>
    <w:rsid w:val="00FA2D75"/>
    <w:rsid w:val="00FA2F60"/>
    <w:rsid w:val="00FA2F84"/>
    <w:rsid w:val="00FA3F10"/>
    <w:rsid w:val="00FA41C7"/>
    <w:rsid w:val="00FA48E5"/>
    <w:rsid w:val="00FA49E6"/>
    <w:rsid w:val="00FA4F04"/>
    <w:rsid w:val="00FA50C5"/>
    <w:rsid w:val="00FA543C"/>
    <w:rsid w:val="00FA5617"/>
    <w:rsid w:val="00FA5697"/>
    <w:rsid w:val="00FA56A8"/>
    <w:rsid w:val="00FA5E80"/>
    <w:rsid w:val="00FA6163"/>
    <w:rsid w:val="00FA633B"/>
    <w:rsid w:val="00FA688A"/>
    <w:rsid w:val="00FA72BD"/>
    <w:rsid w:val="00FA76A9"/>
    <w:rsid w:val="00FA76AF"/>
    <w:rsid w:val="00FA7D84"/>
    <w:rsid w:val="00FB046A"/>
    <w:rsid w:val="00FB099C"/>
    <w:rsid w:val="00FB0A64"/>
    <w:rsid w:val="00FB1496"/>
    <w:rsid w:val="00FB1510"/>
    <w:rsid w:val="00FB1680"/>
    <w:rsid w:val="00FB1777"/>
    <w:rsid w:val="00FB1873"/>
    <w:rsid w:val="00FB237A"/>
    <w:rsid w:val="00FB2562"/>
    <w:rsid w:val="00FB2800"/>
    <w:rsid w:val="00FB28AB"/>
    <w:rsid w:val="00FB2C8A"/>
    <w:rsid w:val="00FB2ED7"/>
    <w:rsid w:val="00FB306D"/>
    <w:rsid w:val="00FB3E4E"/>
    <w:rsid w:val="00FB3E7A"/>
    <w:rsid w:val="00FB3F6E"/>
    <w:rsid w:val="00FB3F93"/>
    <w:rsid w:val="00FB48A0"/>
    <w:rsid w:val="00FB58D2"/>
    <w:rsid w:val="00FB5982"/>
    <w:rsid w:val="00FB59E3"/>
    <w:rsid w:val="00FB5D1A"/>
    <w:rsid w:val="00FB5DFA"/>
    <w:rsid w:val="00FB6AF0"/>
    <w:rsid w:val="00FB7D98"/>
    <w:rsid w:val="00FB7E21"/>
    <w:rsid w:val="00FC030A"/>
    <w:rsid w:val="00FC05FA"/>
    <w:rsid w:val="00FC090A"/>
    <w:rsid w:val="00FC0981"/>
    <w:rsid w:val="00FC0A5E"/>
    <w:rsid w:val="00FC0EA7"/>
    <w:rsid w:val="00FC1BD6"/>
    <w:rsid w:val="00FC1FA2"/>
    <w:rsid w:val="00FC227B"/>
    <w:rsid w:val="00FC2740"/>
    <w:rsid w:val="00FC2C82"/>
    <w:rsid w:val="00FC2DEE"/>
    <w:rsid w:val="00FC32A4"/>
    <w:rsid w:val="00FC33E6"/>
    <w:rsid w:val="00FC4DF1"/>
    <w:rsid w:val="00FC56ED"/>
    <w:rsid w:val="00FC5769"/>
    <w:rsid w:val="00FC58E8"/>
    <w:rsid w:val="00FC658A"/>
    <w:rsid w:val="00FC682D"/>
    <w:rsid w:val="00FC6B17"/>
    <w:rsid w:val="00FC6B29"/>
    <w:rsid w:val="00FC6C4E"/>
    <w:rsid w:val="00FC6FF4"/>
    <w:rsid w:val="00FC70CF"/>
    <w:rsid w:val="00FC72E6"/>
    <w:rsid w:val="00FC7D34"/>
    <w:rsid w:val="00FC7FDD"/>
    <w:rsid w:val="00FD1014"/>
    <w:rsid w:val="00FD2121"/>
    <w:rsid w:val="00FD2318"/>
    <w:rsid w:val="00FD2DC8"/>
    <w:rsid w:val="00FD3290"/>
    <w:rsid w:val="00FD34BC"/>
    <w:rsid w:val="00FD3645"/>
    <w:rsid w:val="00FD3763"/>
    <w:rsid w:val="00FD37DB"/>
    <w:rsid w:val="00FD3A66"/>
    <w:rsid w:val="00FD3FDD"/>
    <w:rsid w:val="00FD403E"/>
    <w:rsid w:val="00FD4116"/>
    <w:rsid w:val="00FD42CE"/>
    <w:rsid w:val="00FD46A7"/>
    <w:rsid w:val="00FD51A2"/>
    <w:rsid w:val="00FD53BA"/>
    <w:rsid w:val="00FD5584"/>
    <w:rsid w:val="00FD580E"/>
    <w:rsid w:val="00FD5EE5"/>
    <w:rsid w:val="00FD64A9"/>
    <w:rsid w:val="00FD7305"/>
    <w:rsid w:val="00FD793B"/>
    <w:rsid w:val="00FE00DE"/>
    <w:rsid w:val="00FE0221"/>
    <w:rsid w:val="00FE0486"/>
    <w:rsid w:val="00FE05D0"/>
    <w:rsid w:val="00FE0EC4"/>
    <w:rsid w:val="00FE1015"/>
    <w:rsid w:val="00FE116E"/>
    <w:rsid w:val="00FE1184"/>
    <w:rsid w:val="00FE1634"/>
    <w:rsid w:val="00FE16A7"/>
    <w:rsid w:val="00FE1B60"/>
    <w:rsid w:val="00FE202C"/>
    <w:rsid w:val="00FE294C"/>
    <w:rsid w:val="00FE2EFD"/>
    <w:rsid w:val="00FE3DBA"/>
    <w:rsid w:val="00FE4085"/>
    <w:rsid w:val="00FE43D9"/>
    <w:rsid w:val="00FE44E1"/>
    <w:rsid w:val="00FE4833"/>
    <w:rsid w:val="00FE4A26"/>
    <w:rsid w:val="00FE55B0"/>
    <w:rsid w:val="00FE5BBC"/>
    <w:rsid w:val="00FE5D77"/>
    <w:rsid w:val="00FE5EBF"/>
    <w:rsid w:val="00FE5F3C"/>
    <w:rsid w:val="00FE63E4"/>
    <w:rsid w:val="00FE686C"/>
    <w:rsid w:val="00FE6FC3"/>
    <w:rsid w:val="00FE746E"/>
    <w:rsid w:val="00FF03C5"/>
    <w:rsid w:val="00FF11C4"/>
    <w:rsid w:val="00FF147D"/>
    <w:rsid w:val="00FF1820"/>
    <w:rsid w:val="00FF1B05"/>
    <w:rsid w:val="00FF210F"/>
    <w:rsid w:val="00FF3665"/>
    <w:rsid w:val="00FF36D9"/>
    <w:rsid w:val="00FF3A9D"/>
    <w:rsid w:val="00FF3CF8"/>
    <w:rsid w:val="00FF43A9"/>
    <w:rsid w:val="00FF4607"/>
    <w:rsid w:val="00FF4799"/>
    <w:rsid w:val="00FF55C2"/>
    <w:rsid w:val="00FF56E7"/>
    <w:rsid w:val="00FF6077"/>
    <w:rsid w:val="00FF654F"/>
    <w:rsid w:val="00FF656A"/>
    <w:rsid w:val="00FF6797"/>
    <w:rsid w:val="00FF67EF"/>
    <w:rsid w:val="00FF6B41"/>
    <w:rsid w:val="00FF6D57"/>
    <w:rsid w:val="00FF7074"/>
    <w:rsid w:val="00FF71A5"/>
    <w:rsid w:val="01294D60"/>
    <w:rsid w:val="014508EF"/>
    <w:rsid w:val="01674973"/>
    <w:rsid w:val="01723626"/>
    <w:rsid w:val="01913441"/>
    <w:rsid w:val="01CAAC5D"/>
    <w:rsid w:val="02234FB5"/>
    <w:rsid w:val="026F23F6"/>
    <w:rsid w:val="0282C3F6"/>
    <w:rsid w:val="0291E2E3"/>
    <w:rsid w:val="02CB4471"/>
    <w:rsid w:val="02DF0EAA"/>
    <w:rsid w:val="02F0922F"/>
    <w:rsid w:val="02F9E47A"/>
    <w:rsid w:val="03106FB6"/>
    <w:rsid w:val="0335BD0A"/>
    <w:rsid w:val="0338A597"/>
    <w:rsid w:val="0355F01B"/>
    <w:rsid w:val="03C95715"/>
    <w:rsid w:val="03D545A3"/>
    <w:rsid w:val="0490E96A"/>
    <w:rsid w:val="04F603F5"/>
    <w:rsid w:val="04FFDD16"/>
    <w:rsid w:val="0518805E"/>
    <w:rsid w:val="051DD759"/>
    <w:rsid w:val="05AC55ED"/>
    <w:rsid w:val="05B11E67"/>
    <w:rsid w:val="061E27DD"/>
    <w:rsid w:val="06E60171"/>
    <w:rsid w:val="074AF3A6"/>
    <w:rsid w:val="07BC95FA"/>
    <w:rsid w:val="07D210A1"/>
    <w:rsid w:val="083CBFE7"/>
    <w:rsid w:val="084A5546"/>
    <w:rsid w:val="085DFBFC"/>
    <w:rsid w:val="08B58544"/>
    <w:rsid w:val="08B88EFF"/>
    <w:rsid w:val="08E3B7C5"/>
    <w:rsid w:val="092521C7"/>
    <w:rsid w:val="0933B9C0"/>
    <w:rsid w:val="09DBF941"/>
    <w:rsid w:val="0A3BBD6B"/>
    <w:rsid w:val="0A46AD9E"/>
    <w:rsid w:val="0A4CCEF2"/>
    <w:rsid w:val="0AC2403F"/>
    <w:rsid w:val="0AC958FE"/>
    <w:rsid w:val="0B1360F5"/>
    <w:rsid w:val="0B24EF28"/>
    <w:rsid w:val="0B5FEF8D"/>
    <w:rsid w:val="0B65D8D4"/>
    <w:rsid w:val="0B909E61"/>
    <w:rsid w:val="0C79BCD3"/>
    <w:rsid w:val="0C897A58"/>
    <w:rsid w:val="0CBC7103"/>
    <w:rsid w:val="0CCE023D"/>
    <w:rsid w:val="0CE431D5"/>
    <w:rsid w:val="0CE849B9"/>
    <w:rsid w:val="0D0C38DB"/>
    <w:rsid w:val="0D47D9F8"/>
    <w:rsid w:val="0DBE60FF"/>
    <w:rsid w:val="0DD8ACEA"/>
    <w:rsid w:val="0E02B7A8"/>
    <w:rsid w:val="0E7256B7"/>
    <w:rsid w:val="0EA8FB9E"/>
    <w:rsid w:val="0EF53167"/>
    <w:rsid w:val="0F05A916"/>
    <w:rsid w:val="0FC94164"/>
    <w:rsid w:val="108BCC81"/>
    <w:rsid w:val="10AFE7B4"/>
    <w:rsid w:val="10C9559C"/>
    <w:rsid w:val="10CB612D"/>
    <w:rsid w:val="10D17D29"/>
    <w:rsid w:val="10E44A46"/>
    <w:rsid w:val="10EE253D"/>
    <w:rsid w:val="11280FD7"/>
    <w:rsid w:val="1231ED86"/>
    <w:rsid w:val="12464E34"/>
    <w:rsid w:val="1269E3FF"/>
    <w:rsid w:val="12BF6A59"/>
    <w:rsid w:val="131D1E56"/>
    <w:rsid w:val="13A710CE"/>
    <w:rsid w:val="13E6F601"/>
    <w:rsid w:val="147650C8"/>
    <w:rsid w:val="14E8479B"/>
    <w:rsid w:val="1517BAC4"/>
    <w:rsid w:val="151AA938"/>
    <w:rsid w:val="15D5243C"/>
    <w:rsid w:val="161EF360"/>
    <w:rsid w:val="16808593"/>
    <w:rsid w:val="1693EA82"/>
    <w:rsid w:val="16A95684"/>
    <w:rsid w:val="16AD8CA0"/>
    <w:rsid w:val="16D0D43D"/>
    <w:rsid w:val="16D6CFB4"/>
    <w:rsid w:val="17005424"/>
    <w:rsid w:val="1717D472"/>
    <w:rsid w:val="1754BCB6"/>
    <w:rsid w:val="17556DCF"/>
    <w:rsid w:val="1779E3C9"/>
    <w:rsid w:val="178E278D"/>
    <w:rsid w:val="184B31C0"/>
    <w:rsid w:val="18B457BD"/>
    <w:rsid w:val="18B653B3"/>
    <w:rsid w:val="18E84CF3"/>
    <w:rsid w:val="192997A4"/>
    <w:rsid w:val="198B23E6"/>
    <w:rsid w:val="19AED002"/>
    <w:rsid w:val="19B66579"/>
    <w:rsid w:val="19E8C0E3"/>
    <w:rsid w:val="1A2E2C28"/>
    <w:rsid w:val="1A4F1C8D"/>
    <w:rsid w:val="1A649FB3"/>
    <w:rsid w:val="1A7B7B62"/>
    <w:rsid w:val="1AEAD5FA"/>
    <w:rsid w:val="1AFC91B8"/>
    <w:rsid w:val="1B00563E"/>
    <w:rsid w:val="1B142202"/>
    <w:rsid w:val="1B21B5FF"/>
    <w:rsid w:val="1B6A8700"/>
    <w:rsid w:val="1B6A8858"/>
    <w:rsid w:val="1B94CB13"/>
    <w:rsid w:val="1C66855B"/>
    <w:rsid w:val="1CB2DB3D"/>
    <w:rsid w:val="1D52B299"/>
    <w:rsid w:val="1D92E346"/>
    <w:rsid w:val="1E2B2CFF"/>
    <w:rsid w:val="1EA697FE"/>
    <w:rsid w:val="1EC59678"/>
    <w:rsid w:val="1EE1ECAB"/>
    <w:rsid w:val="1F39B189"/>
    <w:rsid w:val="1F853F0F"/>
    <w:rsid w:val="1FA72B1C"/>
    <w:rsid w:val="1FACCC9E"/>
    <w:rsid w:val="1FDF95BF"/>
    <w:rsid w:val="1FE7C9FC"/>
    <w:rsid w:val="200A826C"/>
    <w:rsid w:val="201FBA7D"/>
    <w:rsid w:val="2022BCDB"/>
    <w:rsid w:val="2055E17E"/>
    <w:rsid w:val="206A863D"/>
    <w:rsid w:val="206A9465"/>
    <w:rsid w:val="20D553E9"/>
    <w:rsid w:val="2119B0F2"/>
    <w:rsid w:val="212D4EB4"/>
    <w:rsid w:val="2147179A"/>
    <w:rsid w:val="2175387E"/>
    <w:rsid w:val="2186C43B"/>
    <w:rsid w:val="218C0092"/>
    <w:rsid w:val="21AB84F3"/>
    <w:rsid w:val="21D26ED9"/>
    <w:rsid w:val="21E3B613"/>
    <w:rsid w:val="21FD729B"/>
    <w:rsid w:val="225FB03C"/>
    <w:rsid w:val="226B9BF3"/>
    <w:rsid w:val="229FF09F"/>
    <w:rsid w:val="237EFB75"/>
    <w:rsid w:val="23862939"/>
    <w:rsid w:val="23D31675"/>
    <w:rsid w:val="23EB223E"/>
    <w:rsid w:val="23EE06DD"/>
    <w:rsid w:val="23FFE23E"/>
    <w:rsid w:val="246D7224"/>
    <w:rsid w:val="24922840"/>
    <w:rsid w:val="2543477C"/>
    <w:rsid w:val="2557A900"/>
    <w:rsid w:val="25CE5307"/>
    <w:rsid w:val="26012C3D"/>
    <w:rsid w:val="262427B9"/>
    <w:rsid w:val="26B96B70"/>
    <w:rsid w:val="2702EF38"/>
    <w:rsid w:val="2716C359"/>
    <w:rsid w:val="274A0199"/>
    <w:rsid w:val="28360597"/>
    <w:rsid w:val="28C24ABC"/>
    <w:rsid w:val="2908AC18"/>
    <w:rsid w:val="290977C2"/>
    <w:rsid w:val="291A713A"/>
    <w:rsid w:val="29242486"/>
    <w:rsid w:val="294F8BC5"/>
    <w:rsid w:val="2952E2F5"/>
    <w:rsid w:val="2963678C"/>
    <w:rsid w:val="29D31ECB"/>
    <w:rsid w:val="29D9D784"/>
    <w:rsid w:val="2A5193AE"/>
    <w:rsid w:val="2A644A36"/>
    <w:rsid w:val="2A69FFAB"/>
    <w:rsid w:val="2A6D51EF"/>
    <w:rsid w:val="2A6FB8F1"/>
    <w:rsid w:val="2A7C8736"/>
    <w:rsid w:val="2A7DDC5E"/>
    <w:rsid w:val="2ABF4BD6"/>
    <w:rsid w:val="2AE9BA6C"/>
    <w:rsid w:val="2B10D8B6"/>
    <w:rsid w:val="2B72FD31"/>
    <w:rsid w:val="2B9B16F6"/>
    <w:rsid w:val="2BB14F21"/>
    <w:rsid w:val="2BD112C0"/>
    <w:rsid w:val="2BFF5466"/>
    <w:rsid w:val="2C15603F"/>
    <w:rsid w:val="2C165667"/>
    <w:rsid w:val="2C26AD72"/>
    <w:rsid w:val="2C4ADE2D"/>
    <w:rsid w:val="2C56589B"/>
    <w:rsid w:val="2C5F7C92"/>
    <w:rsid w:val="2C716B66"/>
    <w:rsid w:val="2CC439BA"/>
    <w:rsid w:val="2CE0E064"/>
    <w:rsid w:val="2CECB30C"/>
    <w:rsid w:val="2CFE3A2E"/>
    <w:rsid w:val="2D0554F9"/>
    <w:rsid w:val="2D5E1EFD"/>
    <w:rsid w:val="2E9F032B"/>
    <w:rsid w:val="2EBDEEA1"/>
    <w:rsid w:val="2EBF11B6"/>
    <w:rsid w:val="2ECA2A9E"/>
    <w:rsid w:val="2F076056"/>
    <w:rsid w:val="2F8908A9"/>
    <w:rsid w:val="2FC66114"/>
    <w:rsid w:val="2FF222A1"/>
    <w:rsid w:val="301160A6"/>
    <w:rsid w:val="3028E9DE"/>
    <w:rsid w:val="3076A45C"/>
    <w:rsid w:val="30924BD9"/>
    <w:rsid w:val="30DD1703"/>
    <w:rsid w:val="31731244"/>
    <w:rsid w:val="31B6E0DD"/>
    <w:rsid w:val="31BE7617"/>
    <w:rsid w:val="32387632"/>
    <w:rsid w:val="32B703E8"/>
    <w:rsid w:val="32BA962E"/>
    <w:rsid w:val="32ED5C0A"/>
    <w:rsid w:val="330BCF0C"/>
    <w:rsid w:val="330F8ACE"/>
    <w:rsid w:val="333605F4"/>
    <w:rsid w:val="33406CF6"/>
    <w:rsid w:val="33CB7DAE"/>
    <w:rsid w:val="34046163"/>
    <w:rsid w:val="344B57FB"/>
    <w:rsid w:val="3471B647"/>
    <w:rsid w:val="349AFC19"/>
    <w:rsid w:val="34A7AF44"/>
    <w:rsid w:val="34EADAF9"/>
    <w:rsid w:val="353BC482"/>
    <w:rsid w:val="3549519C"/>
    <w:rsid w:val="35D6E55F"/>
    <w:rsid w:val="35F8B9E4"/>
    <w:rsid w:val="3655609D"/>
    <w:rsid w:val="36A363C4"/>
    <w:rsid w:val="36CA4CA9"/>
    <w:rsid w:val="373D2F29"/>
    <w:rsid w:val="3756D33F"/>
    <w:rsid w:val="376DA226"/>
    <w:rsid w:val="37CBCC9C"/>
    <w:rsid w:val="3887FD0A"/>
    <w:rsid w:val="38929FD8"/>
    <w:rsid w:val="3894D265"/>
    <w:rsid w:val="38B64FB7"/>
    <w:rsid w:val="390A3596"/>
    <w:rsid w:val="39730D1D"/>
    <w:rsid w:val="399E2F9D"/>
    <w:rsid w:val="39A9B657"/>
    <w:rsid w:val="39C06AEA"/>
    <w:rsid w:val="3A48BDFE"/>
    <w:rsid w:val="3A93ADF6"/>
    <w:rsid w:val="3AAB1EA1"/>
    <w:rsid w:val="3B33A57D"/>
    <w:rsid w:val="3B5784BC"/>
    <w:rsid w:val="3B92FD4E"/>
    <w:rsid w:val="3BF107DE"/>
    <w:rsid w:val="3C0E99A9"/>
    <w:rsid w:val="3C5C6DB7"/>
    <w:rsid w:val="3C6BE9E8"/>
    <w:rsid w:val="3C951E6D"/>
    <w:rsid w:val="3CA154D3"/>
    <w:rsid w:val="3CD8B4B0"/>
    <w:rsid w:val="3D451D7E"/>
    <w:rsid w:val="3D83B437"/>
    <w:rsid w:val="3E1452A7"/>
    <w:rsid w:val="3E3582FC"/>
    <w:rsid w:val="3E46B2F6"/>
    <w:rsid w:val="3E772146"/>
    <w:rsid w:val="3E77A34E"/>
    <w:rsid w:val="3E876C92"/>
    <w:rsid w:val="3EC778FB"/>
    <w:rsid w:val="3EE3A5EE"/>
    <w:rsid w:val="3F377271"/>
    <w:rsid w:val="3F4306FE"/>
    <w:rsid w:val="3F500928"/>
    <w:rsid w:val="3F60D9FD"/>
    <w:rsid w:val="3FAF83FD"/>
    <w:rsid w:val="3FC5B718"/>
    <w:rsid w:val="40493E4F"/>
    <w:rsid w:val="4054C5C0"/>
    <w:rsid w:val="406D8069"/>
    <w:rsid w:val="40B47218"/>
    <w:rsid w:val="410F14C0"/>
    <w:rsid w:val="41618789"/>
    <w:rsid w:val="41C68927"/>
    <w:rsid w:val="420D3256"/>
    <w:rsid w:val="4224D2D6"/>
    <w:rsid w:val="429A9F76"/>
    <w:rsid w:val="42F074FC"/>
    <w:rsid w:val="430BB2AC"/>
    <w:rsid w:val="431DE6F0"/>
    <w:rsid w:val="4358987C"/>
    <w:rsid w:val="4369C32A"/>
    <w:rsid w:val="437EB99A"/>
    <w:rsid w:val="43B6A904"/>
    <w:rsid w:val="43F6F5EB"/>
    <w:rsid w:val="44289615"/>
    <w:rsid w:val="442C5D5C"/>
    <w:rsid w:val="445E9E98"/>
    <w:rsid w:val="4462B99A"/>
    <w:rsid w:val="44A2B130"/>
    <w:rsid w:val="44AC749A"/>
    <w:rsid w:val="45189851"/>
    <w:rsid w:val="457B4120"/>
    <w:rsid w:val="45AB5694"/>
    <w:rsid w:val="460F7F4B"/>
    <w:rsid w:val="464F3FC3"/>
    <w:rsid w:val="46B99B0E"/>
    <w:rsid w:val="46BA7BA9"/>
    <w:rsid w:val="46D125E3"/>
    <w:rsid w:val="47023E37"/>
    <w:rsid w:val="47334EC4"/>
    <w:rsid w:val="47472EDA"/>
    <w:rsid w:val="48584869"/>
    <w:rsid w:val="4893A208"/>
    <w:rsid w:val="48B7E2A4"/>
    <w:rsid w:val="49432D23"/>
    <w:rsid w:val="494B09B7"/>
    <w:rsid w:val="495928AA"/>
    <w:rsid w:val="4A3FCEB5"/>
    <w:rsid w:val="4A40C834"/>
    <w:rsid w:val="4B256018"/>
    <w:rsid w:val="4B6CBB40"/>
    <w:rsid w:val="4BA42B54"/>
    <w:rsid w:val="4C02AE13"/>
    <w:rsid w:val="4C151BFC"/>
    <w:rsid w:val="4C192C22"/>
    <w:rsid w:val="4D4E7692"/>
    <w:rsid w:val="4D6E215D"/>
    <w:rsid w:val="4D7AFA33"/>
    <w:rsid w:val="4DA47452"/>
    <w:rsid w:val="4DD31734"/>
    <w:rsid w:val="4E4BECE0"/>
    <w:rsid w:val="4E7C8402"/>
    <w:rsid w:val="4E99457E"/>
    <w:rsid w:val="4ED0E4E7"/>
    <w:rsid w:val="4ED9DCEF"/>
    <w:rsid w:val="4F272F0F"/>
    <w:rsid w:val="4F7169A4"/>
    <w:rsid w:val="4F7DB661"/>
    <w:rsid w:val="4FB0F5A8"/>
    <w:rsid w:val="50759EA7"/>
    <w:rsid w:val="50910CA2"/>
    <w:rsid w:val="50FEDCAE"/>
    <w:rsid w:val="511AB3E3"/>
    <w:rsid w:val="511CF52B"/>
    <w:rsid w:val="511D9268"/>
    <w:rsid w:val="512EE956"/>
    <w:rsid w:val="513414A4"/>
    <w:rsid w:val="513FECF1"/>
    <w:rsid w:val="5250E43D"/>
    <w:rsid w:val="525CD3E3"/>
    <w:rsid w:val="5278C317"/>
    <w:rsid w:val="52A6D950"/>
    <w:rsid w:val="5379BE5C"/>
    <w:rsid w:val="53BBCEB8"/>
    <w:rsid w:val="53E91FD6"/>
    <w:rsid w:val="543CA563"/>
    <w:rsid w:val="546DEAB8"/>
    <w:rsid w:val="546E99E3"/>
    <w:rsid w:val="54813AD3"/>
    <w:rsid w:val="54DF050E"/>
    <w:rsid w:val="55BE35B3"/>
    <w:rsid w:val="55FE0183"/>
    <w:rsid w:val="5614CC14"/>
    <w:rsid w:val="562C07C4"/>
    <w:rsid w:val="563DA9BC"/>
    <w:rsid w:val="5682A30A"/>
    <w:rsid w:val="569FF8DD"/>
    <w:rsid w:val="56AB5A22"/>
    <w:rsid w:val="56C44B4B"/>
    <w:rsid w:val="56CF595F"/>
    <w:rsid w:val="56D3BFEB"/>
    <w:rsid w:val="56F10175"/>
    <w:rsid w:val="5747B80D"/>
    <w:rsid w:val="5762E855"/>
    <w:rsid w:val="5795C629"/>
    <w:rsid w:val="57A6C09F"/>
    <w:rsid w:val="57D8F396"/>
    <w:rsid w:val="5858D3ED"/>
    <w:rsid w:val="58AD465F"/>
    <w:rsid w:val="58D2C586"/>
    <w:rsid w:val="58FEDF69"/>
    <w:rsid w:val="5916993C"/>
    <w:rsid w:val="5940E861"/>
    <w:rsid w:val="59996B84"/>
    <w:rsid w:val="5A229B84"/>
    <w:rsid w:val="5A5AECAB"/>
    <w:rsid w:val="5A663EB4"/>
    <w:rsid w:val="5AA66498"/>
    <w:rsid w:val="5AD30FC9"/>
    <w:rsid w:val="5B28E444"/>
    <w:rsid w:val="5BB3ACA8"/>
    <w:rsid w:val="5BC43E13"/>
    <w:rsid w:val="5C0FFFAB"/>
    <w:rsid w:val="5C3433A8"/>
    <w:rsid w:val="5C47408F"/>
    <w:rsid w:val="5C4B9154"/>
    <w:rsid w:val="5C56338E"/>
    <w:rsid w:val="5C57638A"/>
    <w:rsid w:val="5CB28F96"/>
    <w:rsid w:val="5CB7886D"/>
    <w:rsid w:val="5CCDE76C"/>
    <w:rsid w:val="5CE4418D"/>
    <w:rsid w:val="5CE64745"/>
    <w:rsid w:val="5D0C02C8"/>
    <w:rsid w:val="5D6C6186"/>
    <w:rsid w:val="5E124ECF"/>
    <w:rsid w:val="5E81B470"/>
    <w:rsid w:val="5E9AC822"/>
    <w:rsid w:val="5EC4E5A4"/>
    <w:rsid w:val="5EE42AC4"/>
    <w:rsid w:val="5EF16055"/>
    <w:rsid w:val="5F2511A7"/>
    <w:rsid w:val="5FD01769"/>
    <w:rsid w:val="60DFE0A2"/>
    <w:rsid w:val="6125ED0B"/>
    <w:rsid w:val="61A87445"/>
    <w:rsid w:val="61F0C759"/>
    <w:rsid w:val="61F33621"/>
    <w:rsid w:val="62D00053"/>
    <w:rsid w:val="630F2D80"/>
    <w:rsid w:val="63F54EF4"/>
    <w:rsid w:val="6429E504"/>
    <w:rsid w:val="6437D2C1"/>
    <w:rsid w:val="645840D0"/>
    <w:rsid w:val="64791C90"/>
    <w:rsid w:val="64A988CB"/>
    <w:rsid w:val="64AF0007"/>
    <w:rsid w:val="64BA3B34"/>
    <w:rsid w:val="64C1EDBD"/>
    <w:rsid w:val="65139806"/>
    <w:rsid w:val="651AC363"/>
    <w:rsid w:val="654FCE8F"/>
    <w:rsid w:val="655ECC6C"/>
    <w:rsid w:val="65AAFA76"/>
    <w:rsid w:val="65E5FCC3"/>
    <w:rsid w:val="65FA9C44"/>
    <w:rsid w:val="6609B4D7"/>
    <w:rsid w:val="665E7465"/>
    <w:rsid w:val="66B17BD8"/>
    <w:rsid w:val="66BC4EB5"/>
    <w:rsid w:val="67289FAE"/>
    <w:rsid w:val="67312549"/>
    <w:rsid w:val="67D9CE38"/>
    <w:rsid w:val="67E4B23B"/>
    <w:rsid w:val="68095A7A"/>
    <w:rsid w:val="682484D5"/>
    <w:rsid w:val="682C5F84"/>
    <w:rsid w:val="682CDD3D"/>
    <w:rsid w:val="68AF8361"/>
    <w:rsid w:val="69023A02"/>
    <w:rsid w:val="6988AE5D"/>
    <w:rsid w:val="6ACA7322"/>
    <w:rsid w:val="6AFE06F9"/>
    <w:rsid w:val="6B01FCB7"/>
    <w:rsid w:val="6B843D34"/>
    <w:rsid w:val="6BCAF57D"/>
    <w:rsid w:val="6BF96B63"/>
    <w:rsid w:val="6BFA945E"/>
    <w:rsid w:val="6C91D76A"/>
    <w:rsid w:val="6CA4E28E"/>
    <w:rsid w:val="6CB00A91"/>
    <w:rsid w:val="6DA7D2F3"/>
    <w:rsid w:val="6DDEC343"/>
    <w:rsid w:val="6DE345FC"/>
    <w:rsid w:val="6DE69298"/>
    <w:rsid w:val="6E1C0BD6"/>
    <w:rsid w:val="6E905C23"/>
    <w:rsid w:val="6EA4503A"/>
    <w:rsid w:val="6EBF286E"/>
    <w:rsid w:val="6F0FFC44"/>
    <w:rsid w:val="6F1936A3"/>
    <w:rsid w:val="6F2863A7"/>
    <w:rsid w:val="6FA5A86F"/>
    <w:rsid w:val="6FBE4944"/>
    <w:rsid w:val="6FDD7ABC"/>
    <w:rsid w:val="6FE44913"/>
    <w:rsid w:val="700B58F9"/>
    <w:rsid w:val="7074195F"/>
    <w:rsid w:val="70BB3CF0"/>
    <w:rsid w:val="70C72A7D"/>
    <w:rsid w:val="71266035"/>
    <w:rsid w:val="717E5F72"/>
    <w:rsid w:val="71AF1AB5"/>
    <w:rsid w:val="71AFC626"/>
    <w:rsid w:val="720A8D5B"/>
    <w:rsid w:val="725DD724"/>
    <w:rsid w:val="73148EC5"/>
    <w:rsid w:val="732B39B6"/>
    <w:rsid w:val="73539B90"/>
    <w:rsid w:val="748F1A2B"/>
    <w:rsid w:val="74BD5439"/>
    <w:rsid w:val="74CBCF4F"/>
    <w:rsid w:val="75059086"/>
    <w:rsid w:val="753D8F5F"/>
    <w:rsid w:val="75674BC2"/>
    <w:rsid w:val="75C4636D"/>
    <w:rsid w:val="76684554"/>
    <w:rsid w:val="768E5BC1"/>
    <w:rsid w:val="76BEB3ED"/>
    <w:rsid w:val="76C7D4B0"/>
    <w:rsid w:val="7728E9D2"/>
    <w:rsid w:val="78E4F34E"/>
    <w:rsid w:val="78E93E29"/>
    <w:rsid w:val="7926772E"/>
    <w:rsid w:val="79576740"/>
    <w:rsid w:val="7957F619"/>
    <w:rsid w:val="796515C0"/>
    <w:rsid w:val="79E0B78D"/>
    <w:rsid w:val="7A477CDE"/>
    <w:rsid w:val="7AD23148"/>
    <w:rsid w:val="7AF8FF96"/>
    <w:rsid w:val="7B15F72C"/>
    <w:rsid w:val="7B1BECDC"/>
    <w:rsid w:val="7B4F1A97"/>
    <w:rsid w:val="7B7FF9EA"/>
    <w:rsid w:val="7BAE2AFA"/>
    <w:rsid w:val="7C05FE0F"/>
    <w:rsid w:val="7C23B89D"/>
    <w:rsid w:val="7C3F86E6"/>
    <w:rsid w:val="7CB6AFC6"/>
    <w:rsid w:val="7D3C4B8B"/>
    <w:rsid w:val="7D519536"/>
    <w:rsid w:val="7D69C494"/>
    <w:rsid w:val="7D94F0CD"/>
    <w:rsid w:val="7DB5880C"/>
    <w:rsid w:val="7DBDE2B9"/>
    <w:rsid w:val="7DEB4887"/>
    <w:rsid w:val="7DFC19E8"/>
    <w:rsid w:val="7E4FE29C"/>
    <w:rsid w:val="7E75506D"/>
    <w:rsid w:val="7E926876"/>
    <w:rsid w:val="7EDC544E"/>
    <w:rsid w:val="7EEC8EE7"/>
    <w:rsid w:val="7EED41A5"/>
    <w:rsid w:val="7F4B6681"/>
    <w:rsid w:val="7F5518D4"/>
    <w:rsid w:val="7F89EE3F"/>
    <w:rsid w:val="7FFF13AC"/>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EEC0A4"/>
  <w15:chartTrackingRefBased/>
  <w15:docId w15:val="{70C9F8AD-0ED6-4063-83EE-62351803F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AU" w:eastAsia="zh-CN" w:bidi="ar-SA"/>
      </w:rPr>
    </w:rPrDefault>
    <w:pPrDefault>
      <w:pPr>
        <w:spacing w:after="120" w:line="252" w:lineRule="auto"/>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w:rsid w:val="002E6E0E"/>
    <w:pPr>
      <w:spacing w:before="200" w:after="200" w:line="300" w:lineRule="atLeast"/>
    </w:pPr>
  </w:style>
  <w:style w:type="paragraph" w:styleId="Heading1">
    <w:name w:val="heading 1"/>
    <w:basedOn w:val="Normal"/>
    <w:next w:val="Normal"/>
    <w:link w:val="Heading1Char"/>
    <w:uiPriority w:val="1"/>
    <w:qFormat/>
    <w:rsid w:val="00825DAF"/>
    <w:pPr>
      <w:keepNext/>
      <w:keepLines/>
      <w:pageBreakBefore/>
      <w:spacing w:after="480"/>
      <w:outlineLvl w:val="0"/>
    </w:pPr>
    <w:rPr>
      <w:bCs/>
      <w:color w:val="2E1A47" w:themeColor="text2"/>
      <w:sz w:val="48"/>
      <w:szCs w:val="44"/>
    </w:rPr>
  </w:style>
  <w:style w:type="paragraph" w:styleId="Heading2">
    <w:name w:val="heading 2"/>
    <w:basedOn w:val="Normal"/>
    <w:next w:val="Normal"/>
    <w:link w:val="Heading2Char"/>
    <w:uiPriority w:val="9"/>
    <w:unhideWhenUsed/>
    <w:rsid w:val="00003409"/>
    <w:pPr>
      <w:keepNext/>
      <w:keepLines/>
      <w:spacing w:before="480" w:after="360" w:line="420" w:lineRule="atLeast"/>
      <w:outlineLvl w:val="1"/>
    </w:pPr>
    <w:rPr>
      <w:color w:val="7A4282" w:themeColor="accent1"/>
      <w:sz w:val="32"/>
      <w:szCs w:val="32"/>
    </w:rPr>
  </w:style>
  <w:style w:type="paragraph" w:styleId="Heading3">
    <w:name w:val="heading 3"/>
    <w:basedOn w:val="Normal"/>
    <w:next w:val="Normal"/>
    <w:link w:val="Heading3Char"/>
    <w:uiPriority w:val="9"/>
    <w:unhideWhenUsed/>
    <w:rsid w:val="00170E31"/>
    <w:pPr>
      <w:keepNext/>
      <w:keepLines/>
      <w:spacing w:before="360" w:after="240" w:line="240" w:lineRule="atLeast"/>
      <w:outlineLvl w:val="2"/>
    </w:pPr>
    <w:rPr>
      <w:b/>
      <w:bCs/>
      <w:color w:val="2E1A47" w:themeColor="text2"/>
    </w:rPr>
  </w:style>
  <w:style w:type="paragraph" w:styleId="Heading4">
    <w:name w:val="heading 4"/>
    <w:basedOn w:val="Normal"/>
    <w:next w:val="Normal"/>
    <w:link w:val="Heading4Char"/>
    <w:uiPriority w:val="9"/>
    <w:unhideWhenUsed/>
    <w:rsid w:val="00702CAA"/>
    <w:pPr>
      <w:keepNext/>
      <w:keepLines/>
      <w:spacing w:before="360" w:after="240"/>
      <w:outlineLvl w:val="3"/>
    </w:pPr>
    <w:rPr>
      <w:color w:val="2E1A47" w:themeColor="text2"/>
    </w:rPr>
  </w:style>
  <w:style w:type="paragraph" w:styleId="Heading5">
    <w:name w:val="heading 5"/>
    <w:basedOn w:val="Normal"/>
    <w:next w:val="Normal"/>
    <w:link w:val="Heading5Char"/>
    <w:uiPriority w:val="9"/>
    <w:unhideWhenUsed/>
    <w:rsid w:val="009B44B1"/>
    <w:pPr>
      <w:keepNext/>
      <w:keepLines/>
      <w:spacing w:before="360" w:after="240"/>
      <w:outlineLvl w:val="4"/>
    </w:pPr>
    <w:rPr>
      <w:rFonts w:asciiTheme="majorHAnsi" w:eastAsiaTheme="majorEastAsia" w:hAnsiTheme="majorHAnsi" w:cstheme="majorBidi"/>
      <w:color w:val="5B31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eadings">
    <w:name w:val="Headings"/>
    <w:uiPriority w:val="99"/>
    <w:rsid w:val="00D65FFD"/>
    <w:pPr>
      <w:numPr>
        <w:numId w:val="1"/>
      </w:numPr>
    </w:pPr>
  </w:style>
  <w:style w:type="paragraph" w:styleId="Date">
    <w:name w:val="Date"/>
    <w:basedOn w:val="Normal"/>
    <w:next w:val="Normal"/>
    <w:link w:val="DateChar"/>
    <w:uiPriority w:val="99"/>
    <w:unhideWhenUsed/>
    <w:rsid w:val="00F73C0E"/>
    <w:pPr>
      <w:spacing w:after="780"/>
    </w:pPr>
    <w:rPr>
      <w:color w:val="FFFFFF" w:themeColor="background1"/>
      <w:sz w:val="26"/>
    </w:rPr>
  </w:style>
  <w:style w:type="character" w:customStyle="1" w:styleId="DateChar">
    <w:name w:val="Date Char"/>
    <w:basedOn w:val="DefaultParagraphFont"/>
    <w:link w:val="Date"/>
    <w:uiPriority w:val="99"/>
    <w:rsid w:val="00F73C0E"/>
    <w:rPr>
      <w:color w:val="FFFFFF" w:themeColor="background1"/>
      <w:sz w:val="26"/>
    </w:rPr>
  </w:style>
  <w:style w:type="character" w:customStyle="1" w:styleId="Heading1Char">
    <w:name w:val="Heading 1 Char"/>
    <w:basedOn w:val="DefaultParagraphFont"/>
    <w:link w:val="Heading1"/>
    <w:uiPriority w:val="1"/>
    <w:rsid w:val="00825DAF"/>
    <w:rPr>
      <w:bCs/>
      <w:color w:val="2E1A47" w:themeColor="text2"/>
      <w:sz w:val="48"/>
      <w:szCs w:val="44"/>
    </w:rPr>
  </w:style>
  <w:style w:type="paragraph" w:customStyle="1" w:styleId="Introcopy">
    <w:name w:val="Intro copy"/>
    <w:basedOn w:val="Normal"/>
    <w:link w:val="IntrocopyChar"/>
    <w:uiPriority w:val="1"/>
    <w:qFormat/>
    <w:rsid w:val="00A37E4C"/>
    <w:pPr>
      <w:spacing w:after="720" w:line="420" w:lineRule="exact"/>
    </w:pPr>
    <w:rPr>
      <w:color w:val="2E1A47" w:themeColor="text2"/>
      <w:sz w:val="32"/>
      <w:szCs w:val="32"/>
    </w:rPr>
  </w:style>
  <w:style w:type="character" w:customStyle="1" w:styleId="Heading2Char">
    <w:name w:val="Heading 2 Char"/>
    <w:basedOn w:val="DefaultParagraphFont"/>
    <w:link w:val="Heading2"/>
    <w:uiPriority w:val="9"/>
    <w:rsid w:val="00003409"/>
    <w:rPr>
      <w:color w:val="7A4282" w:themeColor="accent1"/>
      <w:sz w:val="32"/>
      <w:szCs w:val="32"/>
    </w:rPr>
  </w:style>
  <w:style w:type="character" w:customStyle="1" w:styleId="Heading3Char">
    <w:name w:val="Heading 3 Char"/>
    <w:basedOn w:val="DefaultParagraphFont"/>
    <w:link w:val="Heading3"/>
    <w:uiPriority w:val="9"/>
    <w:rsid w:val="00170E31"/>
    <w:rPr>
      <w:b/>
      <w:bCs/>
      <w:color w:val="2E1A47" w:themeColor="text2"/>
    </w:rPr>
  </w:style>
  <w:style w:type="character" w:customStyle="1" w:styleId="Heading4Char">
    <w:name w:val="Heading 4 Char"/>
    <w:basedOn w:val="DefaultParagraphFont"/>
    <w:link w:val="Heading4"/>
    <w:uiPriority w:val="9"/>
    <w:rsid w:val="00702CAA"/>
    <w:rPr>
      <w:color w:val="2E1A47" w:themeColor="text2"/>
    </w:rPr>
  </w:style>
  <w:style w:type="paragraph" w:styleId="ListBullet">
    <w:name w:val="List Bullet"/>
    <w:aliases w:val="BulletList,BulletList1"/>
    <w:basedOn w:val="Normal"/>
    <w:link w:val="ListBulletChar"/>
    <w:uiPriority w:val="99"/>
    <w:unhideWhenUsed/>
    <w:rsid w:val="004751B4"/>
    <w:pPr>
      <w:numPr>
        <w:numId w:val="2"/>
      </w:numPr>
      <w:snapToGrid w:val="0"/>
      <w:spacing w:before="0"/>
    </w:pPr>
  </w:style>
  <w:style w:type="paragraph" w:styleId="ListBullet2">
    <w:name w:val="List Bullet 2"/>
    <w:aliases w:val="Bullet list 2,BulletList2"/>
    <w:basedOn w:val="Normal"/>
    <w:uiPriority w:val="99"/>
    <w:unhideWhenUsed/>
    <w:rsid w:val="004751B4"/>
    <w:pPr>
      <w:numPr>
        <w:ilvl w:val="1"/>
        <w:numId w:val="2"/>
      </w:numPr>
      <w:snapToGrid w:val="0"/>
      <w:spacing w:before="0"/>
    </w:pPr>
  </w:style>
  <w:style w:type="paragraph" w:styleId="ListBullet3">
    <w:name w:val="List Bullet 3"/>
    <w:aliases w:val="Bullet list 3,BulletList3"/>
    <w:basedOn w:val="Normal"/>
    <w:uiPriority w:val="99"/>
    <w:unhideWhenUsed/>
    <w:rsid w:val="009B44B1"/>
    <w:pPr>
      <w:numPr>
        <w:ilvl w:val="2"/>
        <w:numId w:val="2"/>
      </w:numPr>
      <w:snapToGrid w:val="0"/>
      <w:spacing w:before="0"/>
      <w:ind w:left="851"/>
    </w:pPr>
  </w:style>
  <w:style w:type="paragraph" w:styleId="Quote">
    <w:name w:val="Quote"/>
    <w:aliases w:val="LargeQuote"/>
    <w:basedOn w:val="Normal"/>
    <w:next w:val="Normal"/>
    <w:link w:val="QuoteChar"/>
    <w:uiPriority w:val="29"/>
    <w:rsid w:val="00DD7324"/>
    <w:pPr>
      <w:pBdr>
        <w:top w:val="single" w:sz="4" w:space="10" w:color="2E1A47" w:themeColor="text2"/>
        <w:bottom w:val="single" w:sz="4" w:space="10" w:color="2E1A47" w:themeColor="text2"/>
      </w:pBdr>
      <w:spacing w:before="360" w:after="360"/>
      <w:ind w:right="3402"/>
    </w:pPr>
    <w:rPr>
      <w:i/>
      <w:iCs/>
      <w:color w:val="2E1A47" w:themeColor="text2"/>
      <w:sz w:val="24"/>
      <w:szCs w:val="24"/>
    </w:rPr>
  </w:style>
  <w:style w:type="character" w:customStyle="1" w:styleId="QuoteChar">
    <w:name w:val="Quote Char"/>
    <w:aliases w:val="LargeQuote Char"/>
    <w:basedOn w:val="DefaultParagraphFont"/>
    <w:link w:val="Quote"/>
    <w:uiPriority w:val="29"/>
    <w:rsid w:val="00DD7324"/>
    <w:rPr>
      <w:i/>
      <w:iCs/>
      <w:color w:val="2E1A47" w:themeColor="text2"/>
      <w:sz w:val="24"/>
      <w:szCs w:val="24"/>
    </w:rPr>
  </w:style>
  <w:style w:type="paragraph" w:styleId="FootnoteText">
    <w:name w:val="footnote text"/>
    <w:basedOn w:val="Normal"/>
    <w:link w:val="FootnoteTextChar"/>
    <w:uiPriority w:val="99"/>
    <w:unhideWhenUsed/>
    <w:rsid w:val="008A38A1"/>
    <w:pPr>
      <w:tabs>
        <w:tab w:val="left" w:pos="142"/>
      </w:tabs>
      <w:spacing w:after="0" w:line="180" w:lineRule="exact"/>
      <w:ind w:left="142" w:hanging="142"/>
    </w:pPr>
    <w:rPr>
      <w:sz w:val="16"/>
    </w:rPr>
  </w:style>
  <w:style w:type="character" w:customStyle="1" w:styleId="FootnoteTextChar">
    <w:name w:val="Footnote Text Char"/>
    <w:basedOn w:val="DefaultParagraphFont"/>
    <w:link w:val="FootnoteText"/>
    <w:uiPriority w:val="99"/>
    <w:rsid w:val="008A38A1"/>
    <w:rPr>
      <w:sz w:val="16"/>
    </w:rPr>
  </w:style>
  <w:style w:type="character" w:styleId="Strong">
    <w:name w:val="Strong"/>
    <w:basedOn w:val="DefaultParagraphFont"/>
    <w:uiPriority w:val="22"/>
    <w:rsid w:val="00D52B20"/>
    <w:rPr>
      <w:b/>
      <w:bCs/>
    </w:rPr>
  </w:style>
  <w:style w:type="character" w:styleId="FootnoteReference">
    <w:name w:val="footnote reference"/>
    <w:basedOn w:val="DefaultParagraphFont"/>
    <w:uiPriority w:val="99"/>
    <w:semiHidden/>
    <w:unhideWhenUsed/>
    <w:rsid w:val="00D52B20"/>
    <w:rPr>
      <w:vertAlign w:val="superscript"/>
    </w:rPr>
  </w:style>
  <w:style w:type="paragraph" w:styleId="Header">
    <w:name w:val="header"/>
    <w:basedOn w:val="Normal"/>
    <w:link w:val="HeaderChar"/>
    <w:uiPriority w:val="99"/>
    <w:unhideWhenUsed/>
    <w:rsid w:val="006B32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3279"/>
  </w:style>
  <w:style w:type="paragraph" w:styleId="Footer">
    <w:name w:val="footer"/>
    <w:basedOn w:val="Normal"/>
    <w:link w:val="FooterChar"/>
    <w:uiPriority w:val="99"/>
    <w:unhideWhenUsed/>
    <w:rsid w:val="006B3279"/>
    <w:pPr>
      <w:pBdr>
        <w:top w:val="single" w:sz="6" w:space="6" w:color="000000" w:themeColor="text1"/>
      </w:pBdr>
      <w:tabs>
        <w:tab w:val="center" w:pos="4513"/>
        <w:tab w:val="right" w:pos="9026"/>
      </w:tabs>
      <w:spacing w:after="0" w:line="240" w:lineRule="auto"/>
    </w:pPr>
    <w:rPr>
      <w:sz w:val="16"/>
      <w:szCs w:val="16"/>
    </w:rPr>
  </w:style>
  <w:style w:type="character" w:customStyle="1" w:styleId="FooterChar">
    <w:name w:val="Footer Char"/>
    <w:basedOn w:val="DefaultParagraphFont"/>
    <w:link w:val="Footer"/>
    <w:uiPriority w:val="99"/>
    <w:rsid w:val="006B3279"/>
    <w:rPr>
      <w:sz w:val="16"/>
      <w:szCs w:val="16"/>
    </w:rPr>
  </w:style>
  <w:style w:type="paragraph" w:styleId="Title">
    <w:name w:val="Title"/>
    <w:aliases w:val="Page Header,Heading level 2"/>
    <w:basedOn w:val="Normal"/>
    <w:next w:val="Normal"/>
    <w:link w:val="TitleChar"/>
    <w:uiPriority w:val="10"/>
    <w:rsid w:val="00BF516D"/>
    <w:pPr>
      <w:spacing w:after="480"/>
    </w:pPr>
    <w:rPr>
      <w:color w:val="FFFFFF" w:themeColor="background1"/>
      <w:sz w:val="48"/>
      <w:szCs w:val="48"/>
    </w:rPr>
  </w:style>
  <w:style w:type="character" w:customStyle="1" w:styleId="TitleChar">
    <w:name w:val="Title Char"/>
    <w:aliases w:val="Page Header Char,Heading level 2 Char"/>
    <w:basedOn w:val="DefaultParagraphFont"/>
    <w:link w:val="Title"/>
    <w:uiPriority w:val="10"/>
    <w:rsid w:val="00BF516D"/>
    <w:rPr>
      <w:color w:val="FFFFFF" w:themeColor="background1"/>
      <w:sz w:val="48"/>
      <w:szCs w:val="48"/>
    </w:rPr>
  </w:style>
  <w:style w:type="paragraph" w:styleId="Subtitle">
    <w:name w:val="Subtitle"/>
    <w:basedOn w:val="Normal"/>
    <w:next w:val="Normal"/>
    <w:link w:val="SubtitleChar"/>
    <w:uiPriority w:val="11"/>
    <w:rsid w:val="004751B4"/>
    <w:pPr>
      <w:spacing w:after="60"/>
      <w:ind w:right="1700"/>
    </w:pPr>
    <w:rPr>
      <w:color w:val="2E1A47" w:themeColor="text2"/>
      <w:sz w:val="26"/>
      <w:szCs w:val="26"/>
    </w:rPr>
  </w:style>
  <w:style w:type="character" w:customStyle="1" w:styleId="SubtitleChar">
    <w:name w:val="Subtitle Char"/>
    <w:basedOn w:val="DefaultParagraphFont"/>
    <w:link w:val="Subtitle"/>
    <w:uiPriority w:val="11"/>
    <w:rsid w:val="004751B4"/>
    <w:rPr>
      <w:color w:val="2E1A47" w:themeColor="text2"/>
      <w:sz w:val="26"/>
      <w:szCs w:val="26"/>
    </w:rPr>
  </w:style>
  <w:style w:type="paragraph" w:customStyle="1" w:styleId="Spacer-cover">
    <w:name w:val="Spacer - cover"/>
    <w:basedOn w:val="Normal"/>
    <w:rsid w:val="00223B43"/>
    <w:pPr>
      <w:spacing w:after="1060"/>
    </w:pPr>
  </w:style>
  <w:style w:type="paragraph" w:styleId="ListNumber">
    <w:name w:val="List Number"/>
    <w:basedOn w:val="Normal"/>
    <w:uiPriority w:val="99"/>
    <w:unhideWhenUsed/>
    <w:rsid w:val="009B44B1"/>
    <w:pPr>
      <w:numPr>
        <w:numId w:val="3"/>
      </w:numPr>
      <w:snapToGrid w:val="0"/>
      <w:spacing w:before="0"/>
    </w:pPr>
  </w:style>
  <w:style w:type="paragraph" w:styleId="ListNumber2">
    <w:name w:val="List Number 2"/>
    <w:aliases w:val="NumberedList 3"/>
    <w:basedOn w:val="Normal"/>
    <w:uiPriority w:val="99"/>
    <w:unhideWhenUsed/>
    <w:rsid w:val="009B44B1"/>
    <w:pPr>
      <w:numPr>
        <w:ilvl w:val="1"/>
        <w:numId w:val="3"/>
      </w:numPr>
      <w:spacing w:before="0"/>
    </w:pPr>
  </w:style>
  <w:style w:type="paragraph" w:styleId="ListNumber3">
    <w:name w:val="List Number 3"/>
    <w:basedOn w:val="Normal"/>
    <w:uiPriority w:val="99"/>
    <w:unhideWhenUsed/>
    <w:rsid w:val="001429D0"/>
    <w:pPr>
      <w:numPr>
        <w:ilvl w:val="2"/>
        <w:numId w:val="3"/>
      </w:numPr>
      <w:snapToGrid w:val="0"/>
      <w:spacing w:before="0"/>
      <w:ind w:left="851"/>
    </w:pPr>
    <w:rPr>
      <w:color w:val="000000" w:themeColor="text1"/>
    </w:rPr>
  </w:style>
  <w:style w:type="character" w:styleId="PlaceholderText">
    <w:name w:val="Placeholder Text"/>
    <w:basedOn w:val="DefaultParagraphFont"/>
    <w:uiPriority w:val="99"/>
    <w:semiHidden/>
    <w:rsid w:val="00EF2E35"/>
    <w:rPr>
      <w:color w:val="808080"/>
    </w:rPr>
  </w:style>
  <w:style w:type="character" w:customStyle="1" w:styleId="Heading5Char">
    <w:name w:val="Heading 5 Char"/>
    <w:basedOn w:val="DefaultParagraphFont"/>
    <w:link w:val="Heading5"/>
    <w:uiPriority w:val="9"/>
    <w:rsid w:val="009B44B1"/>
    <w:rPr>
      <w:rFonts w:asciiTheme="majorHAnsi" w:eastAsiaTheme="majorEastAsia" w:hAnsiTheme="majorHAnsi" w:cstheme="majorBidi"/>
      <w:color w:val="5B3161" w:themeColor="accent1" w:themeShade="BF"/>
    </w:rPr>
  </w:style>
  <w:style w:type="table" w:styleId="ListTable3-Accent3">
    <w:name w:val="List Table 3 Accent 3"/>
    <w:basedOn w:val="TableNormal"/>
    <w:uiPriority w:val="48"/>
    <w:rsid w:val="002070B0"/>
    <w:pPr>
      <w:spacing w:after="0" w:line="240" w:lineRule="auto"/>
    </w:pPr>
    <w:rPr>
      <w:rFonts w:eastAsiaTheme="minorHAnsi"/>
      <w:sz w:val="18"/>
      <w:szCs w:val="22"/>
      <w:lang w:eastAsia="en-US"/>
    </w:rPr>
    <w:tblPr>
      <w:tblStyleRowBandSize w:val="1"/>
      <w:tblStyleColBandSize w:val="1"/>
      <w:tblBorders>
        <w:top w:val="single" w:sz="4" w:space="0" w:color="C7A5FF" w:themeColor="accent3"/>
        <w:left w:val="single" w:sz="4" w:space="0" w:color="C7A5FF" w:themeColor="accent3"/>
        <w:bottom w:val="single" w:sz="4" w:space="0" w:color="C7A5FF" w:themeColor="accent3"/>
        <w:right w:val="single" w:sz="4" w:space="0" w:color="C7A5FF" w:themeColor="accent3"/>
      </w:tblBorders>
    </w:tblPr>
    <w:tblStylePr w:type="firstRow">
      <w:rPr>
        <w:b/>
        <w:bCs/>
        <w:color w:val="FFFFFF" w:themeColor="background1"/>
      </w:rPr>
      <w:tblPr/>
      <w:tcPr>
        <w:shd w:val="clear" w:color="auto" w:fill="C7A5FF" w:themeFill="accent3"/>
      </w:tcPr>
    </w:tblStylePr>
    <w:tblStylePr w:type="lastRow">
      <w:rPr>
        <w:b/>
        <w:bCs/>
      </w:rPr>
      <w:tblPr/>
      <w:tcPr>
        <w:tcBorders>
          <w:top w:val="double" w:sz="4" w:space="0" w:color="C7A5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A5FF" w:themeColor="accent3"/>
          <w:right w:val="single" w:sz="4" w:space="0" w:color="C7A5FF" w:themeColor="accent3"/>
        </w:tcBorders>
      </w:tcPr>
    </w:tblStylePr>
    <w:tblStylePr w:type="band1Horz">
      <w:tblPr/>
      <w:tcPr>
        <w:tcBorders>
          <w:top w:val="single" w:sz="4" w:space="0" w:color="C7A5FF" w:themeColor="accent3"/>
          <w:bottom w:val="single" w:sz="4" w:space="0" w:color="C7A5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A5FF" w:themeColor="accent3"/>
          <w:left w:val="nil"/>
        </w:tcBorders>
      </w:tcPr>
    </w:tblStylePr>
    <w:tblStylePr w:type="swCell">
      <w:tblPr/>
      <w:tcPr>
        <w:tcBorders>
          <w:top w:val="double" w:sz="4" w:space="0" w:color="C7A5FF" w:themeColor="accent3"/>
          <w:right w:val="nil"/>
        </w:tcBorders>
      </w:tcPr>
    </w:tblStylePr>
  </w:style>
  <w:style w:type="paragraph" w:customStyle="1" w:styleId="Tableheadermain">
    <w:name w:val="Table header (main)"/>
    <w:basedOn w:val="Normal"/>
    <w:link w:val="TableheadermainChar"/>
    <w:rsid w:val="00AF1BF8"/>
    <w:pPr>
      <w:spacing w:before="120"/>
    </w:pPr>
    <w:rPr>
      <w:rFonts w:eastAsiaTheme="minorHAnsi"/>
      <w:b/>
      <w:bCs/>
      <w:color w:val="FFFFFF" w:themeColor="background1"/>
      <w:szCs w:val="18"/>
      <w:lang w:val="pt-PT" w:eastAsia="en-US"/>
    </w:rPr>
  </w:style>
  <w:style w:type="character" w:customStyle="1" w:styleId="TableheadermainChar">
    <w:name w:val="Table header (main) Char"/>
    <w:basedOn w:val="DefaultParagraphFont"/>
    <w:link w:val="Tableheadermain"/>
    <w:rsid w:val="00AF1BF8"/>
    <w:rPr>
      <w:rFonts w:eastAsiaTheme="minorHAnsi"/>
      <w:b/>
      <w:bCs/>
      <w:color w:val="FFFFFF" w:themeColor="background1"/>
      <w:szCs w:val="18"/>
      <w:lang w:val="pt-PT" w:eastAsia="en-US"/>
    </w:rPr>
  </w:style>
  <w:style w:type="paragraph" w:customStyle="1" w:styleId="Table-copy">
    <w:name w:val="Table - copy"/>
    <w:basedOn w:val="Normal"/>
    <w:link w:val="Table-copyChar"/>
    <w:qFormat/>
    <w:rsid w:val="00AF1BF8"/>
    <w:rPr>
      <w:rFonts w:ascii="Verdana" w:eastAsiaTheme="minorHAnsi" w:hAnsi="Verdana"/>
      <w:color w:val="000000" w:themeColor="text1"/>
      <w:sz w:val="18"/>
      <w:lang w:eastAsia="en-US"/>
    </w:rPr>
  </w:style>
  <w:style w:type="character" w:customStyle="1" w:styleId="Table-copyChar">
    <w:name w:val="Table - copy Char"/>
    <w:basedOn w:val="DefaultParagraphFont"/>
    <w:link w:val="Table-copy"/>
    <w:rsid w:val="00AF1BF8"/>
    <w:rPr>
      <w:rFonts w:ascii="Verdana" w:eastAsiaTheme="minorHAnsi" w:hAnsi="Verdana"/>
      <w:color w:val="000000" w:themeColor="text1"/>
      <w:sz w:val="18"/>
      <w:lang w:eastAsia="en-US"/>
    </w:rPr>
  </w:style>
  <w:style w:type="table" w:styleId="ListTable3-Accent1">
    <w:name w:val="List Table 3 Accent 1"/>
    <w:basedOn w:val="TableNormal"/>
    <w:uiPriority w:val="48"/>
    <w:rsid w:val="002070B0"/>
    <w:pPr>
      <w:spacing w:after="0" w:line="240" w:lineRule="auto"/>
    </w:pPr>
    <w:rPr>
      <w:sz w:val="18"/>
    </w:rPr>
    <w:tblPr>
      <w:tblStyleRowBandSize w:val="1"/>
      <w:tblStyleColBandSize w:val="1"/>
      <w:tblBorders>
        <w:top w:val="single" w:sz="4" w:space="0" w:color="7A4282" w:themeColor="accent1"/>
        <w:left w:val="single" w:sz="4" w:space="0" w:color="7A4282" w:themeColor="accent1"/>
        <w:bottom w:val="single" w:sz="4" w:space="0" w:color="7A4282" w:themeColor="accent1"/>
        <w:right w:val="single" w:sz="4" w:space="0" w:color="7A4282" w:themeColor="accent1"/>
      </w:tblBorders>
    </w:tblPr>
    <w:tblStylePr w:type="firstRow">
      <w:rPr>
        <w:b/>
        <w:bCs/>
        <w:color w:val="FFFFFF" w:themeColor="background1"/>
      </w:rPr>
      <w:tblPr/>
      <w:tcPr>
        <w:shd w:val="clear" w:color="auto" w:fill="7A4282" w:themeFill="accent1"/>
      </w:tcPr>
    </w:tblStylePr>
    <w:tblStylePr w:type="lastRow">
      <w:rPr>
        <w:b/>
        <w:bCs/>
      </w:rPr>
      <w:tblPr/>
      <w:tcPr>
        <w:tcBorders>
          <w:top w:val="double" w:sz="4" w:space="0" w:color="7A4282" w:themeColor="accent1"/>
        </w:tcBorders>
        <w:shd w:val="clear" w:color="auto" w:fill="FFFFFF" w:themeFill="background1"/>
      </w:tcPr>
    </w:tblStylePr>
    <w:tblStylePr w:type="firstCol">
      <w:rPr>
        <w:rFonts w:ascii="Verdana" w:hAnsi="Verdana"/>
        <w:b/>
        <w:bCs/>
        <w:sz w:val="18"/>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A4282" w:themeColor="accent1"/>
          <w:right w:val="single" w:sz="4" w:space="0" w:color="7A4282" w:themeColor="accent1"/>
        </w:tcBorders>
      </w:tcPr>
    </w:tblStylePr>
    <w:tblStylePr w:type="band1Horz">
      <w:tblPr/>
      <w:tcPr>
        <w:tcBorders>
          <w:top w:val="single" w:sz="4" w:space="0" w:color="7A4282" w:themeColor="accent1"/>
          <w:bottom w:val="single" w:sz="4" w:space="0" w:color="7A42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A4282" w:themeColor="accent1"/>
          <w:left w:val="nil"/>
        </w:tcBorders>
      </w:tcPr>
    </w:tblStylePr>
    <w:tblStylePr w:type="swCell">
      <w:tblPr/>
      <w:tcPr>
        <w:tcBorders>
          <w:top w:val="double" w:sz="4" w:space="0" w:color="7A4282" w:themeColor="accent1"/>
          <w:right w:val="nil"/>
        </w:tcBorders>
      </w:tcPr>
    </w:tblStylePr>
  </w:style>
  <w:style w:type="paragraph" w:customStyle="1" w:styleId="NumberedList1">
    <w:name w:val="NumberedList 1"/>
    <w:basedOn w:val="ListParagraph"/>
    <w:link w:val="NumberedList1Char"/>
    <w:rsid w:val="00663209"/>
    <w:pPr>
      <w:numPr>
        <w:numId w:val="4"/>
      </w:numPr>
      <w:tabs>
        <w:tab w:val="num" w:pos="360"/>
      </w:tabs>
      <w:spacing w:before="0" w:line="300" w:lineRule="exact"/>
      <w:ind w:left="284" w:hanging="284"/>
      <w:contextualSpacing w:val="0"/>
    </w:pPr>
    <w:rPr>
      <w:rFonts w:eastAsiaTheme="minorHAnsi"/>
      <w:color w:val="000000" w:themeColor="text1"/>
      <w:lang w:val="pt-PT" w:eastAsia="en-US"/>
    </w:rPr>
  </w:style>
  <w:style w:type="paragraph" w:styleId="ListParagraph">
    <w:name w:val="List Paragraph"/>
    <w:aliases w:val="List Paragraph1,Recommendation,List Paragraph11,L,CV text,Table text,F5 List Paragraph,Dot pt,List Paragraph111,Medium Grid 1 - Accent 21,Numbered Paragraph,List Paragraph2,Bulleted Para,NFP GP Bulleted List,FooterText,numbered,列出段落,列出段落1"/>
    <w:basedOn w:val="Normal"/>
    <w:link w:val="ListParagraphChar"/>
    <w:uiPriority w:val="34"/>
    <w:qFormat/>
    <w:rsid w:val="00663209"/>
    <w:pPr>
      <w:ind w:left="720"/>
      <w:contextualSpacing/>
    </w:pPr>
  </w:style>
  <w:style w:type="paragraph" w:customStyle="1" w:styleId="QuoteSource">
    <w:name w:val="QuoteSource"/>
    <w:basedOn w:val="Normal"/>
    <w:qFormat/>
    <w:rsid w:val="00EB23FD"/>
    <w:pPr>
      <w:spacing w:before="40" w:after="40" w:line="240" w:lineRule="auto"/>
    </w:pPr>
    <w:rPr>
      <w:rFonts w:eastAsiaTheme="minorHAnsi"/>
      <w:color w:val="000000" w:themeColor="text1"/>
      <w:sz w:val="18"/>
      <w:szCs w:val="16"/>
      <w:lang w:val="pt-PT" w:eastAsia="en-US"/>
    </w:rPr>
  </w:style>
  <w:style w:type="paragraph" w:customStyle="1" w:styleId="Largequote">
    <w:name w:val="Large quote"/>
    <w:basedOn w:val="Normal"/>
    <w:link w:val="LargequoteChar"/>
    <w:qFormat/>
    <w:rsid w:val="005C2687"/>
    <w:rPr>
      <w:color w:val="893C94"/>
      <w:sz w:val="28"/>
      <w:szCs w:val="28"/>
    </w:rPr>
  </w:style>
  <w:style w:type="paragraph" w:customStyle="1" w:styleId="SmallQuote">
    <w:name w:val="SmallQuote"/>
    <w:basedOn w:val="Largequote"/>
    <w:link w:val="SmallQuoteChar"/>
    <w:qFormat/>
    <w:rsid w:val="00F70C86"/>
    <w:pPr>
      <w:spacing w:before="40" w:after="240"/>
    </w:pPr>
    <w:rPr>
      <w:sz w:val="24"/>
      <w:szCs w:val="24"/>
    </w:rPr>
  </w:style>
  <w:style w:type="character" w:customStyle="1" w:styleId="LargequoteChar">
    <w:name w:val="Large quote Char"/>
    <w:basedOn w:val="DefaultParagraphFont"/>
    <w:link w:val="Largequote"/>
    <w:rsid w:val="005C2687"/>
    <w:rPr>
      <w:color w:val="893C94"/>
      <w:sz w:val="28"/>
      <w:szCs w:val="28"/>
    </w:rPr>
  </w:style>
  <w:style w:type="character" w:customStyle="1" w:styleId="SmallQuoteChar">
    <w:name w:val="SmallQuote Char"/>
    <w:basedOn w:val="LargequoteChar"/>
    <w:link w:val="SmallQuote"/>
    <w:rsid w:val="00F70C86"/>
    <w:rPr>
      <w:color w:val="7A4282" w:themeColor="accent1"/>
      <w:sz w:val="24"/>
      <w:szCs w:val="24"/>
    </w:rPr>
  </w:style>
  <w:style w:type="table" w:styleId="ListTable3-Accent2">
    <w:name w:val="List Table 3 Accent 2"/>
    <w:basedOn w:val="TableNormal"/>
    <w:uiPriority w:val="48"/>
    <w:rsid w:val="002070B0"/>
    <w:pPr>
      <w:spacing w:after="0" w:line="240" w:lineRule="auto"/>
    </w:pPr>
    <w:rPr>
      <w:sz w:val="18"/>
    </w:rPr>
    <w:tblPr>
      <w:tblStyleRowBandSize w:val="1"/>
      <w:tblStyleColBandSize w:val="1"/>
      <w:tblBorders>
        <w:top w:val="single" w:sz="4" w:space="0" w:color="2E1A47" w:themeColor="accent2"/>
        <w:left w:val="single" w:sz="4" w:space="0" w:color="2E1A47" w:themeColor="accent2"/>
        <w:bottom w:val="single" w:sz="4" w:space="0" w:color="2E1A47" w:themeColor="accent2"/>
        <w:right w:val="single" w:sz="4" w:space="0" w:color="2E1A47" w:themeColor="accent2"/>
      </w:tblBorders>
    </w:tblPr>
    <w:tblStylePr w:type="firstRow">
      <w:rPr>
        <w:b/>
        <w:bCs/>
        <w:color w:val="FFFFFF" w:themeColor="background1"/>
      </w:rPr>
      <w:tblPr/>
      <w:tcPr>
        <w:shd w:val="clear" w:color="auto" w:fill="2E1A47" w:themeFill="accent2"/>
      </w:tcPr>
    </w:tblStylePr>
    <w:tblStylePr w:type="lastRow">
      <w:rPr>
        <w:b/>
        <w:bCs/>
      </w:rPr>
      <w:tblPr/>
      <w:tcPr>
        <w:tcBorders>
          <w:top w:val="double" w:sz="4" w:space="0" w:color="2E1A4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E1A47" w:themeColor="accent2"/>
          <w:right w:val="single" w:sz="4" w:space="0" w:color="2E1A47" w:themeColor="accent2"/>
        </w:tcBorders>
      </w:tcPr>
    </w:tblStylePr>
    <w:tblStylePr w:type="band1Horz">
      <w:tblPr/>
      <w:tcPr>
        <w:tcBorders>
          <w:top w:val="single" w:sz="4" w:space="0" w:color="2E1A47" w:themeColor="accent2"/>
          <w:bottom w:val="single" w:sz="4" w:space="0" w:color="2E1A4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E1A47" w:themeColor="accent2"/>
          <w:left w:val="nil"/>
        </w:tcBorders>
      </w:tcPr>
    </w:tblStylePr>
    <w:tblStylePr w:type="swCell">
      <w:tblPr/>
      <w:tcPr>
        <w:tcBorders>
          <w:top w:val="double" w:sz="4" w:space="0" w:color="2E1A47" w:themeColor="accent2"/>
          <w:right w:val="nil"/>
        </w:tcBorders>
      </w:tcPr>
    </w:tblStylePr>
  </w:style>
  <w:style w:type="character" w:styleId="CommentReference">
    <w:name w:val="annotation reference"/>
    <w:basedOn w:val="DefaultParagraphFont"/>
    <w:uiPriority w:val="99"/>
    <w:semiHidden/>
    <w:unhideWhenUsed/>
    <w:rsid w:val="003D6610"/>
    <w:rPr>
      <w:sz w:val="16"/>
      <w:szCs w:val="16"/>
    </w:rPr>
  </w:style>
  <w:style w:type="paragraph" w:styleId="CommentText">
    <w:name w:val="annotation text"/>
    <w:basedOn w:val="Normal"/>
    <w:link w:val="CommentTextChar"/>
    <w:uiPriority w:val="99"/>
    <w:unhideWhenUsed/>
    <w:rsid w:val="003D6610"/>
    <w:pPr>
      <w:spacing w:line="240" w:lineRule="auto"/>
    </w:pPr>
  </w:style>
  <w:style w:type="character" w:customStyle="1" w:styleId="CommentTextChar">
    <w:name w:val="Comment Text Char"/>
    <w:basedOn w:val="DefaultParagraphFont"/>
    <w:link w:val="CommentText"/>
    <w:uiPriority w:val="99"/>
    <w:rsid w:val="003D6610"/>
  </w:style>
  <w:style w:type="paragraph" w:styleId="CommentSubject">
    <w:name w:val="annotation subject"/>
    <w:basedOn w:val="CommentText"/>
    <w:next w:val="CommentText"/>
    <w:link w:val="CommentSubjectChar"/>
    <w:uiPriority w:val="99"/>
    <w:semiHidden/>
    <w:unhideWhenUsed/>
    <w:rsid w:val="003D6610"/>
    <w:rPr>
      <w:b/>
      <w:bCs/>
    </w:rPr>
  </w:style>
  <w:style w:type="character" w:customStyle="1" w:styleId="CommentSubjectChar">
    <w:name w:val="Comment Subject Char"/>
    <w:basedOn w:val="CommentTextChar"/>
    <w:link w:val="CommentSubject"/>
    <w:uiPriority w:val="99"/>
    <w:semiHidden/>
    <w:rsid w:val="003D6610"/>
    <w:rPr>
      <w:b/>
      <w:bCs/>
    </w:rPr>
  </w:style>
  <w:style w:type="paragraph" w:customStyle="1" w:styleId="PageHeader">
    <w:name w:val="PageHeader"/>
    <w:basedOn w:val="Heading1"/>
    <w:link w:val="PageHeaderChar"/>
    <w:rsid w:val="005E0392"/>
    <w:rPr>
      <w:bCs w:val="0"/>
      <w:szCs w:val="48"/>
    </w:rPr>
  </w:style>
  <w:style w:type="character" w:customStyle="1" w:styleId="PageHeaderChar">
    <w:name w:val="PageHeader Char"/>
    <w:basedOn w:val="Heading1Char"/>
    <w:link w:val="PageHeader"/>
    <w:rsid w:val="005E0392"/>
    <w:rPr>
      <w:bCs w:val="0"/>
      <w:color w:val="2E1A47" w:themeColor="text2"/>
      <w:sz w:val="48"/>
      <w:szCs w:val="48"/>
    </w:rPr>
  </w:style>
  <w:style w:type="paragraph" w:customStyle="1" w:styleId="Heading-masthead">
    <w:name w:val="Heading - masthead"/>
    <w:basedOn w:val="Title"/>
    <w:link w:val="Heading-mastheadChar"/>
    <w:qFormat/>
    <w:rsid w:val="00DA459B"/>
  </w:style>
  <w:style w:type="character" w:customStyle="1" w:styleId="Heading-mastheadChar">
    <w:name w:val="Heading - masthead Char"/>
    <w:basedOn w:val="TitleChar"/>
    <w:link w:val="Heading-masthead"/>
    <w:rsid w:val="00DA459B"/>
    <w:rPr>
      <w:color w:val="FFFFFF" w:themeColor="background1"/>
      <w:sz w:val="48"/>
      <w:szCs w:val="48"/>
    </w:rPr>
  </w:style>
  <w:style w:type="paragraph" w:customStyle="1" w:styleId="Heading-level1">
    <w:name w:val="Heading - level 1"/>
    <w:basedOn w:val="PageHeader"/>
    <w:link w:val="Heading-level1Char"/>
    <w:qFormat/>
    <w:rsid w:val="00295B15"/>
    <w:pPr>
      <w:pageBreakBefore w:val="0"/>
    </w:pPr>
    <w:rPr>
      <w:color w:val="300050"/>
    </w:rPr>
  </w:style>
  <w:style w:type="character" w:customStyle="1" w:styleId="Heading-level1Char">
    <w:name w:val="Heading - level 1 Char"/>
    <w:basedOn w:val="PageHeaderChar"/>
    <w:link w:val="Heading-level1"/>
    <w:rsid w:val="00295B15"/>
    <w:rPr>
      <w:bCs w:val="0"/>
      <w:color w:val="300050"/>
      <w:sz w:val="48"/>
      <w:szCs w:val="48"/>
    </w:rPr>
  </w:style>
  <w:style w:type="paragraph" w:customStyle="1" w:styleId="Heading-level2">
    <w:name w:val="Heading - level 2"/>
    <w:basedOn w:val="Heading2"/>
    <w:link w:val="Heading-level2Char"/>
    <w:qFormat/>
    <w:rsid w:val="00683E6F"/>
    <w:rPr>
      <w:color w:val="893C94"/>
    </w:rPr>
  </w:style>
  <w:style w:type="character" w:customStyle="1" w:styleId="Heading-level2Char">
    <w:name w:val="Heading - level 2 Char"/>
    <w:basedOn w:val="Heading2Char"/>
    <w:link w:val="Heading-level2"/>
    <w:rsid w:val="00683E6F"/>
    <w:rPr>
      <w:color w:val="893C94"/>
      <w:sz w:val="32"/>
      <w:szCs w:val="32"/>
    </w:rPr>
  </w:style>
  <w:style w:type="paragraph" w:customStyle="1" w:styleId="Heading-level3">
    <w:name w:val="Heading - level 3"/>
    <w:basedOn w:val="Heading3"/>
    <w:link w:val="Heading-level3Char"/>
    <w:qFormat/>
    <w:rsid w:val="00683E6F"/>
    <w:rPr>
      <w:color w:val="300050"/>
    </w:rPr>
  </w:style>
  <w:style w:type="character" w:customStyle="1" w:styleId="Heading-level3Char">
    <w:name w:val="Heading - level 3 Char"/>
    <w:basedOn w:val="Heading3Char"/>
    <w:link w:val="Heading-level3"/>
    <w:rsid w:val="00683E6F"/>
    <w:rPr>
      <w:b/>
      <w:bCs/>
      <w:color w:val="300050"/>
    </w:rPr>
  </w:style>
  <w:style w:type="paragraph" w:customStyle="1" w:styleId="Body-copy">
    <w:name w:val="Body - copy"/>
    <w:basedOn w:val="Normal"/>
    <w:link w:val="Body-copyChar"/>
    <w:qFormat/>
    <w:rsid w:val="00F130BD"/>
  </w:style>
  <w:style w:type="character" w:customStyle="1" w:styleId="Body-copyChar">
    <w:name w:val="Body - copy Char"/>
    <w:basedOn w:val="DefaultParagraphFont"/>
    <w:link w:val="Body-copy"/>
    <w:rsid w:val="00F130BD"/>
  </w:style>
  <w:style w:type="paragraph" w:customStyle="1" w:styleId="Bulletlist">
    <w:name w:val="Bullet list"/>
    <w:basedOn w:val="ListBullet"/>
    <w:link w:val="BulletlistChar"/>
    <w:qFormat/>
    <w:rsid w:val="004B4332"/>
    <w:pPr>
      <w:ind w:left="511"/>
      <w:contextualSpacing/>
    </w:pPr>
  </w:style>
  <w:style w:type="character" w:customStyle="1" w:styleId="ListBulletChar">
    <w:name w:val="List Bullet Char"/>
    <w:aliases w:val="BulletList Char,BulletList1 Char"/>
    <w:basedOn w:val="DefaultParagraphFont"/>
    <w:link w:val="ListBullet"/>
    <w:uiPriority w:val="99"/>
    <w:rsid w:val="00724913"/>
  </w:style>
  <w:style w:type="character" w:customStyle="1" w:styleId="BulletlistChar">
    <w:name w:val="Bullet list Char"/>
    <w:basedOn w:val="ListBulletChar"/>
    <w:link w:val="Bulletlist"/>
    <w:rsid w:val="004B4332"/>
  </w:style>
  <w:style w:type="paragraph" w:customStyle="1" w:styleId="Body-numberedlist">
    <w:name w:val="Body - numbered list"/>
    <w:basedOn w:val="NumberedList1"/>
    <w:link w:val="Body-numberedlistChar"/>
    <w:qFormat/>
    <w:rsid w:val="004B4332"/>
    <w:pPr>
      <w:tabs>
        <w:tab w:val="clear" w:pos="360"/>
      </w:tabs>
      <w:spacing w:line="300" w:lineRule="atLeast"/>
      <w:ind w:left="511"/>
      <w:contextualSpacing/>
    </w:pPr>
  </w:style>
  <w:style w:type="character" w:customStyle="1" w:styleId="ListParagraphChar">
    <w:name w:val="List Paragraph Char"/>
    <w:aliases w:val="List Paragraph1 Char,Recommendation Char,List Paragraph11 Char,L Char,CV text Char,Table text Char,F5 List Paragraph Char,Dot pt Char,List Paragraph111 Char,Medium Grid 1 - Accent 21 Char,Numbered Paragraph Char,List Paragraph2 Char"/>
    <w:basedOn w:val="DefaultParagraphFont"/>
    <w:link w:val="ListParagraph"/>
    <w:uiPriority w:val="34"/>
    <w:qFormat/>
    <w:rsid w:val="00724913"/>
  </w:style>
  <w:style w:type="character" w:customStyle="1" w:styleId="NumberedList1Char">
    <w:name w:val="NumberedList 1 Char"/>
    <w:basedOn w:val="ListParagraphChar"/>
    <w:link w:val="NumberedList1"/>
    <w:rsid w:val="00724913"/>
    <w:rPr>
      <w:rFonts w:eastAsiaTheme="minorHAnsi"/>
      <w:color w:val="000000" w:themeColor="text1"/>
      <w:lang w:val="pt-PT" w:eastAsia="en-US"/>
    </w:rPr>
  </w:style>
  <w:style w:type="character" w:customStyle="1" w:styleId="Body-numberedlistChar">
    <w:name w:val="Body - numbered list Char"/>
    <w:basedOn w:val="NumberedList1Char"/>
    <w:link w:val="Body-numberedlist"/>
    <w:rsid w:val="004B4332"/>
    <w:rPr>
      <w:rFonts w:eastAsiaTheme="minorHAnsi"/>
      <w:color w:val="000000" w:themeColor="text1"/>
      <w:lang w:val="pt-PT" w:eastAsia="en-US"/>
    </w:rPr>
  </w:style>
  <w:style w:type="paragraph" w:customStyle="1" w:styleId="Table-heading1">
    <w:name w:val="Table - heading 1"/>
    <w:basedOn w:val="Tableheadermain"/>
    <w:link w:val="Table-heading1Char"/>
    <w:qFormat/>
    <w:rsid w:val="005E7F49"/>
  </w:style>
  <w:style w:type="character" w:customStyle="1" w:styleId="Table-heading1Char">
    <w:name w:val="Table - heading 1 Char"/>
    <w:basedOn w:val="TableheadermainChar"/>
    <w:link w:val="Table-heading1"/>
    <w:rsid w:val="005E7F49"/>
    <w:rPr>
      <w:rFonts w:eastAsiaTheme="minorHAnsi"/>
      <w:b/>
      <w:bCs/>
      <w:color w:val="FFFFFF" w:themeColor="background1"/>
      <w:szCs w:val="18"/>
      <w:lang w:val="pt-PT" w:eastAsia="en-US"/>
    </w:rPr>
  </w:style>
  <w:style w:type="paragraph" w:customStyle="1" w:styleId="Table-heading2">
    <w:name w:val="Table - heading 2"/>
    <w:basedOn w:val="Table-copy"/>
    <w:link w:val="Table-heading2Char"/>
    <w:qFormat/>
    <w:rsid w:val="005E7F49"/>
    <w:rPr>
      <w:b/>
      <w:bCs/>
    </w:rPr>
  </w:style>
  <w:style w:type="character" w:customStyle="1" w:styleId="Table-heading2Char">
    <w:name w:val="Table - heading 2 Char"/>
    <w:basedOn w:val="Table-copyChar"/>
    <w:link w:val="Table-heading2"/>
    <w:rsid w:val="005E7F49"/>
    <w:rPr>
      <w:rFonts w:ascii="Verdana" w:eastAsiaTheme="minorHAnsi" w:hAnsi="Verdana"/>
      <w:b/>
      <w:bCs/>
      <w:color w:val="000000" w:themeColor="text1"/>
      <w:sz w:val="18"/>
      <w:lang w:eastAsia="en-US"/>
    </w:rPr>
  </w:style>
  <w:style w:type="paragraph" w:customStyle="1" w:styleId="Table-bullets">
    <w:name w:val="Table - bullets"/>
    <w:basedOn w:val="Table-copy"/>
    <w:link w:val="Table-bulletsChar"/>
    <w:qFormat/>
    <w:rsid w:val="005E7F49"/>
    <w:pPr>
      <w:numPr>
        <w:numId w:val="5"/>
      </w:numPr>
      <w:ind w:left="227" w:hanging="227"/>
    </w:pPr>
  </w:style>
  <w:style w:type="character" w:customStyle="1" w:styleId="Table-bulletsChar">
    <w:name w:val="Table - bullets Char"/>
    <w:basedOn w:val="Table-copyChar"/>
    <w:link w:val="Table-bullets"/>
    <w:rsid w:val="005E7F49"/>
    <w:rPr>
      <w:rFonts w:ascii="Verdana" w:eastAsiaTheme="minorHAnsi" w:hAnsi="Verdana"/>
      <w:color w:val="000000" w:themeColor="text1"/>
      <w:sz w:val="18"/>
      <w:lang w:eastAsia="en-US"/>
    </w:rPr>
  </w:style>
  <w:style w:type="character" w:styleId="Mention">
    <w:name w:val="Mention"/>
    <w:basedOn w:val="DefaultParagraphFont"/>
    <w:uiPriority w:val="99"/>
    <w:unhideWhenUsed/>
    <w:rsid w:val="00550E01"/>
    <w:rPr>
      <w:color w:val="2B579A"/>
      <w:shd w:val="clear" w:color="auto" w:fill="E1DFDD"/>
    </w:rPr>
  </w:style>
  <w:style w:type="table" w:styleId="TableGrid">
    <w:name w:val="Table Grid"/>
    <w:basedOn w:val="TableNormal"/>
    <w:uiPriority w:val="59"/>
    <w:rsid w:val="00550E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1">
    <w:name w:val="Grid Table 5 Dark Accent 1"/>
    <w:basedOn w:val="TableNormal"/>
    <w:uiPriority w:val="50"/>
    <w:rsid w:val="00745914"/>
    <w:pPr>
      <w:spacing w:after="0" w:line="240" w:lineRule="auto"/>
    </w:pPr>
    <w:rPr>
      <w:sz w:val="18"/>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D5E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A42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A42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A42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A4282" w:themeFill="accent1"/>
      </w:tcPr>
    </w:tblStylePr>
    <w:tblStylePr w:type="band1Vert">
      <w:tblPr/>
      <w:tcPr>
        <w:shd w:val="clear" w:color="auto" w:fill="CFABD4" w:themeFill="accent1" w:themeFillTint="66"/>
      </w:tcPr>
    </w:tblStylePr>
    <w:tblStylePr w:type="band1Horz">
      <w:tblPr/>
      <w:tcPr>
        <w:shd w:val="clear" w:color="auto" w:fill="CFABD4" w:themeFill="accent1" w:themeFillTint="66"/>
      </w:tcPr>
    </w:tblStylePr>
  </w:style>
  <w:style w:type="table" w:customStyle="1" w:styleId="GridTable7Dark-Accent1">
    <w:name w:val="Grid Table 7 Dark - Accent 1"/>
    <w:basedOn w:val="TableNormal"/>
    <w:uiPriority w:val="99"/>
    <w:rsid w:val="00C66AA2"/>
    <w:pPr>
      <w:spacing w:after="0" w:line="240" w:lineRule="auto"/>
    </w:pPr>
    <w:tblPr/>
  </w:style>
  <w:style w:type="table" w:styleId="ListTable3">
    <w:name w:val="List Table 3"/>
    <w:basedOn w:val="TableNormal"/>
    <w:uiPriority w:val="48"/>
    <w:rsid w:val="002070B0"/>
    <w:pPr>
      <w:spacing w:after="0" w:line="240" w:lineRule="auto"/>
    </w:pPr>
    <w:rPr>
      <w:sz w:val="18"/>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4">
    <w:name w:val="List Table 3 Accent 4"/>
    <w:basedOn w:val="TableNormal"/>
    <w:uiPriority w:val="48"/>
    <w:rsid w:val="002070B0"/>
    <w:pPr>
      <w:spacing w:after="0" w:line="240" w:lineRule="auto"/>
    </w:pPr>
    <w:rPr>
      <w:sz w:val="18"/>
    </w:rPr>
    <w:tblPr>
      <w:tblStyleRowBandSize w:val="1"/>
      <w:tblStyleColBandSize w:val="1"/>
      <w:tblBorders>
        <w:top w:val="single" w:sz="4" w:space="0" w:color="C78570" w:themeColor="accent4"/>
        <w:left w:val="single" w:sz="4" w:space="0" w:color="C78570" w:themeColor="accent4"/>
        <w:bottom w:val="single" w:sz="4" w:space="0" w:color="C78570" w:themeColor="accent4"/>
        <w:right w:val="single" w:sz="4" w:space="0" w:color="C78570" w:themeColor="accent4"/>
      </w:tblBorders>
    </w:tblPr>
    <w:tblStylePr w:type="firstRow">
      <w:rPr>
        <w:b/>
        <w:bCs/>
        <w:color w:val="FFFFFF" w:themeColor="background1"/>
      </w:rPr>
      <w:tblPr/>
      <w:tcPr>
        <w:shd w:val="clear" w:color="auto" w:fill="C78570" w:themeFill="accent4"/>
      </w:tcPr>
    </w:tblStylePr>
    <w:tblStylePr w:type="lastRow">
      <w:rPr>
        <w:b/>
        <w:bCs/>
      </w:rPr>
      <w:tblPr/>
      <w:tcPr>
        <w:tcBorders>
          <w:top w:val="double" w:sz="4" w:space="0" w:color="C7857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8570" w:themeColor="accent4"/>
          <w:right w:val="single" w:sz="4" w:space="0" w:color="C78570" w:themeColor="accent4"/>
        </w:tcBorders>
      </w:tcPr>
    </w:tblStylePr>
    <w:tblStylePr w:type="band1Horz">
      <w:tblPr/>
      <w:tcPr>
        <w:tcBorders>
          <w:top w:val="single" w:sz="4" w:space="0" w:color="C78570" w:themeColor="accent4"/>
          <w:bottom w:val="single" w:sz="4" w:space="0" w:color="C7857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8570" w:themeColor="accent4"/>
          <w:left w:val="nil"/>
        </w:tcBorders>
      </w:tcPr>
    </w:tblStylePr>
    <w:tblStylePr w:type="swCell">
      <w:tblPr/>
      <w:tcPr>
        <w:tcBorders>
          <w:top w:val="double" w:sz="4" w:space="0" w:color="C78570" w:themeColor="accent4"/>
          <w:right w:val="nil"/>
        </w:tcBorders>
      </w:tcPr>
    </w:tblStylePr>
  </w:style>
  <w:style w:type="table" w:styleId="ListTable3-Accent5">
    <w:name w:val="List Table 3 Accent 5"/>
    <w:basedOn w:val="TableNormal"/>
    <w:uiPriority w:val="48"/>
    <w:rsid w:val="00B66C99"/>
    <w:pPr>
      <w:spacing w:after="0" w:line="240" w:lineRule="auto"/>
    </w:pPr>
    <w:rPr>
      <w:sz w:val="18"/>
    </w:rPr>
    <w:tblPr>
      <w:tblStyleRowBandSize w:val="1"/>
      <w:tblStyleColBandSize w:val="1"/>
      <w:tblBorders>
        <w:top w:val="single" w:sz="4" w:space="0" w:color="877B77" w:themeColor="accent5"/>
        <w:left w:val="single" w:sz="4" w:space="0" w:color="877B77" w:themeColor="accent5"/>
        <w:bottom w:val="single" w:sz="4" w:space="0" w:color="877B77" w:themeColor="accent5"/>
        <w:right w:val="single" w:sz="4" w:space="0" w:color="877B77" w:themeColor="accent5"/>
      </w:tblBorders>
    </w:tblPr>
    <w:tblStylePr w:type="firstRow">
      <w:rPr>
        <w:b/>
        <w:bCs/>
        <w:color w:val="FFFFFF" w:themeColor="background1"/>
      </w:rPr>
      <w:tblPr/>
      <w:tcPr>
        <w:shd w:val="clear" w:color="auto" w:fill="877B77" w:themeFill="accent5"/>
      </w:tcPr>
    </w:tblStylePr>
    <w:tblStylePr w:type="lastRow">
      <w:rPr>
        <w:b/>
        <w:bCs/>
      </w:rPr>
      <w:tblPr/>
      <w:tcPr>
        <w:tcBorders>
          <w:top w:val="double" w:sz="4" w:space="0" w:color="877B77"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77B77" w:themeColor="accent5"/>
          <w:right w:val="single" w:sz="4" w:space="0" w:color="877B77" w:themeColor="accent5"/>
        </w:tcBorders>
      </w:tcPr>
    </w:tblStylePr>
    <w:tblStylePr w:type="band1Horz">
      <w:tblPr/>
      <w:tcPr>
        <w:tcBorders>
          <w:top w:val="single" w:sz="4" w:space="0" w:color="877B77" w:themeColor="accent5"/>
          <w:bottom w:val="single" w:sz="4" w:space="0" w:color="877B77"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77B77" w:themeColor="accent5"/>
          <w:left w:val="nil"/>
        </w:tcBorders>
      </w:tcPr>
    </w:tblStylePr>
    <w:tblStylePr w:type="swCell">
      <w:tblPr/>
      <w:tcPr>
        <w:tcBorders>
          <w:top w:val="double" w:sz="4" w:space="0" w:color="877B77" w:themeColor="accent5"/>
          <w:right w:val="nil"/>
        </w:tcBorders>
      </w:tcPr>
    </w:tblStylePr>
  </w:style>
  <w:style w:type="table" w:styleId="GridTable1Light">
    <w:name w:val="Grid Table 1 Light"/>
    <w:basedOn w:val="TableNormal"/>
    <w:uiPriority w:val="46"/>
    <w:rsid w:val="002070B0"/>
    <w:pPr>
      <w:spacing w:after="0" w:line="240" w:lineRule="auto"/>
    </w:pPr>
    <w:rPr>
      <w:sz w:val="18"/>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E09CE"/>
    <w:pPr>
      <w:spacing w:after="0" w:line="240" w:lineRule="auto"/>
    </w:pPr>
    <w:rPr>
      <w:sz w:val="18"/>
    </w:rPr>
    <w:tblPr>
      <w:tblStyleRowBandSize w:val="1"/>
      <w:tblStyleColBandSize w:val="1"/>
      <w:tblBorders>
        <w:top w:val="single" w:sz="4" w:space="0" w:color="CFABD4" w:themeColor="accent1" w:themeTint="66"/>
        <w:left w:val="single" w:sz="4" w:space="0" w:color="CFABD4" w:themeColor="accent1" w:themeTint="66"/>
        <w:bottom w:val="single" w:sz="4" w:space="0" w:color="CFABD4" w:themeColor="accent1" w:themeTint="66"/>
        <w:right w:val="single" w:sz="4" w:space="0" w:color="CFABD4" w:themeColor="accent1" w:themeTint="66"/>
        <w:insideH w:val="single" w:sz="4" w:space="0" w:color="CFABD4" w:themeColor="accent1" w:themeTint="66"/>
        <w:insideV w:val="single" w:sz="4" w:space="0" w:color="CFABD4" w:themeColor="accent1" w:themeTint="66"/>
      </w:tblBorders>
    </w:tblPr>
    <w:tblStylePr w:type="firstRow">
      <w:rPr>
        <w:b/>
        <w:bCs/>
      </w:rPr>
      <w:tblPr/>
      <w:tcPr>
        <w:tcBorders>
          <w:bottom w:val="single" w:sz="12" w:space="0" w:color="B781BF" w:themeColor="accent1" w:themeTint="99"/>
        </w:tcBorders>
      </w:tcPr>
    </w:tblStylePr>
    <w:tblStylePr w:type="lastRow">
      <w:rPr>
        <w:b/>
        <w:bCs/>
      </w:rPr>
      <w:tblPr/>
      <w:tcPr>
        <w:tcBorders>
          <w:top w:val="double" w:sz="2" w:space="0" w:color="B781BF" w:themeColor="accent1" w:themeTint="99"/>
        </w:tcBorders>
      </w:tcPr>
    </w:tblStylePr>
    <w:tblStylePr w:type="firstCol">
      <w:rPr>
        <w:b/>
        <w:bCs/>
      </w:rPr>
    </w:tblStylePr>
    <w:tblStylePr w:type="lastCol">
      <w:rPr>
        <w:b/>
        <w:bCs/>
      </w:rPr>
    </w:tblStylePr>
  </w:style>
  <w:style w:type="table" w:styleId="ListTable7ColourfulAccent6">
    <w:name w:val="List Table 7 Colorful Accent 6"/>
    <w:basedOn w:val="TableNormal"/>
    <w:uiPriority w:val="52"/>
    <w:rsid w:val="00397823"/>
    <w:pPr>
      <w:spacing w:after="0" w:line="240" w:lineRule="auto"/>
    </w:pPr>
    <w:rPr>
      <w:sz w:val="18"/>
    </w:rPr>
    <w:tblPr>
      <w:tblStyleRowBandSize w:val="1"/>
      <w:tblStyleColBandSize w:val="1"/>
    </w:tblPr>
    <w:tblStylePr w:type="firstRow">
      <w:rPr>
        <w:rFonts w:asciiTheme="majorHAnsi" w:eastAsiaTheme="majorEastAsia" w:hAnsiTheme="majorHAnsi" w:cstheme="majorBidi"/>
        <w:i/>
        <w:iCs/>
        <w:sz w:val="18"/>
      </w:rPr>
      <w:tblPr/>
      <w:tcPr>
        <w:tcBorders>
          <w:bottom w:val="single" w:sz="4" w:space="0" w:color="E4E1DC" w:themeColor="accent6"/>
        </w:tcBorders>
        <w:shd w:val="clear" w:color="auto" w:fill="FFFFFF" w:themeFill="background1"/>
      </w:tcPr>
    </w:tblStylePr>
    <w:tblStylePr w:type="lastRow">
      <w:rPr>
        <w:rFonts w:asciiTheme="majorHAnsi" w:eastAsiaTheme="majorEastAsia" w:hAnsiTheme="majorHAnsi" w:cstheme="majorBidi"/>
        <w:i/>
        <w:iCs/>
        <w:sz w:val="18"/>
      </w:rPr>
      <w:tblPr/>
      <w:tcPr>
        <w:tcBorders>
          <w:top w:val="single" w:sz="4" w:space="0" w:color="E4E1DC" w:themeColor="accent6"/>
        </w:tcBorders>
        <w:shd w:val="clear" w:color="auto" w:fill="FFFFFF" w:themeFill="background1"/>
      </w:tcPr>
    </w:tblStylePr>
    <w:tblStylePr w:type="firstCol">
      <w:pPr>
        <w:jc w:val="right"/>
      </w:pPr>
      <w:rPr>
        <w:rFonts w:asciiTheme="majorHAnsi" w:eastAsiaTheme="majorEastAsia" w:hAnsiTheme="majorHAnsi" w:cstheme="majorBidi"/>
        <w:i/>
        <w:iCs/>
        <w:sz w:val="18"/>
      </w:rPr>
      <w:tblPr/>
      <w:tcPr>
        <w:tcBorders>
          <w:right w:val="single" w:sz="4" w:space="0" w:color="E4E1DC" w:themeColor="accent6"/>
        </w:tcBorders>
        <w:shd w:val="clear" w:color="auto" w:fill="FFFFFF" w:themeFill="background1"/>
      </w:tcPr>
    </w:tblStylePr>
    <w:tblStylePr w:type="lastCol">
      <w:rPr>
        <w:rFonts w:asciiTheme="majorHAnsi" w:eastAsiaTheme="majorEastAsia" w:hAnsiTheme="majorHAnsi" w:cstheme="majorBidi"/>
        <w:i/>
        <w:iCs/>
        <w:sz w:val="18"/>
      </w:rPr>
      <w:tblPr/>
      <w:tcPr>
        <w:tcBorders>
          <w:left w:val="single" w:sz="4" w:space="0" w:color="E4E1DC" w:themeColor="accent6"/>
        </w:tcBorders>
        <w:shd w:val="clear" w:color="auto" w:fill="FFFFFF" w:themeFill="background1"/>
      </w:tcPr>
    </w:tblStylePr>
    <w:tblStylePr w:type="band1Vert">
      <w:tblPr/>
      <w:tcPr>
        <w:shd w:val="clear" w:color="auto" w:fill="F9F8F7" w:themeFill="accent6" w:themeFillTint="33"/>
      </w:tcPr>
    </w:tblStylePr>
    <w:tblStylePr w:type="band1Horz">
      <w:tblPr/>
      <w:tcPr>
        <w:shd w:val="clear" w:color="auto" w:fill="F9F8F7"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397823"/>
    <w:pPr>
      <w:spacing w:after="0" w:line="240" w:lineRule="auto"/>
    </w:pPr>
    <w:rPr>
      <w:sz w:val="18"/>
    </w:rPr>
    <w:tblPr>
      <w:tblStyleRowBandSize w:val="1"/>
      <w:tblStyleColBandSize w:val="1"/>
    </w:tblPr>
    <w:tblStylePr w:type="firstRow">
      <w:rPr>
        <w:rFonts w:asciiTheme="majorHAnsi" w:eastAsiaTheme="majorEastAsia" w:hAnsiTheme="majorHAnsi" w:cstheme="majorBidi"/>
        <w:i/>
        <w:iCs/>
        <w:sz w:val="18"/>
      </w:rPr>
      <w:tblPr/>
      <w:tcPr>
        <w:tcBorders>
          <w:bottom w:val="single" w:sz="4" w:space="0" w:color="877B77" w:themeColor="accent5"/>
        </w:tcBorders>
        <w:shd w:val="clear" w:color="auto" w:fill="FFFFFF" w:themeFill="background1"/>
      </w:tcPr>
    </w:tblStylePr>
    <w:tblStylePr w:type="lastRow">
      <w:rPr>
        <w:rFonts w:asciiTheme="majorHAnsi" w:eastAsiaTheme="majorEastAsia" w:hAnsiTheme="majorHAnsi" w:cstheme="majorBidi"/>
        <w:i/>
        <w:iCs/>
        <w:sz w:val="18"/>
      </w:rPr>
      <w:tblPr/>
      <w:tcPr>
        <w:tcBorders>
          <w:top w:val="single" w:sz="4" w:space="0" w:color="877B77" w:themeColor="accent5"/>
        </w:tcBorders>
        <w:shd w:val="clear" w:color="auto" w:fill="FFFFFF" w:themeFill="background1"/>
      </w:tcPr>
    </w:tblStylePr>
    <w:tblStylePr w:type="firstCol">
      <w:pPr>
        <w:jc w:val="right"/>
      </w:pPr>
      <w:rPr>
        <w:rFonts w:asciiTheme="majorHAnsi" w:eastAsiaTheme="majorEastAsia" w:hAnsiTheme="majorHAnsi" w:cstheme="majorBidi"/>
        <w:i/>
        <w:iCs/>
        <w:sz w:val="18"/>
      </w:rPr>
      <w:tblPr/>
      <w:tcPr>
        <w:tcBorders>
          <w:right w:val="single" w:sz="4" w:space="0" w:color="877B77" w:themeColor="accent5"/>
        </w:tcBorders>
        <w:shd w:val="clear" w:color="auto" w:fill="FFFFFF" w:themeFill="background1"/>
      </w:tcPr>
    </w:tblStylePr>
    <w:tblStylePr w:type="lastCol">
      <w:rPr>
        <w:rFonts w:asciiTheme="majorHAnsi" w:eastAsiaTheme="majorEastAsia" w:hAnsiTheme="majorHAnsi" w:cstheme="majorBidi"/>
        <w:i/>
        <w:iCs/>
        <w:sz w:val="18"/>
      </w:rPr>
      <w:tblPr/>
      <w:tcPr>
        <w:tcBorders>
          <w:left w:val="single" w:sz="4" w:space="0" w:color="877B77" w:themeColor="accent5"/>
        </w:tcBorders>
        <w:shd w:val="clear" w:color="auto" w:fill="FFFFFF" w:themeFill="background1"/>
      </w:tcPr>
    </w:tblStylePr>
    <w:tblStylePr w:type="band1Vert">
      <w:tblPr/>
      <w:tcPr>
        <w:shd w:val="clear" w:color="auto" w:fill="E7E4E3" w:themeFill="accent5" w:themeFillTint="33"/>
      </w:tcPr>
    </w:tblStylePr>
    <w:tblStylePr w:type="band1Horz">
      <w:tblPr/>
      <w:tcPr>
        <w:shd w:val="clear" w:color="auto" w:fill="E7E4E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B66C99"/>
    <w:pPr>
      <w:spacing w:after="0" w:line="240" w:lineRule="auto"/>
    </w:pPr>
    <w:rPr>
      <w:color w:val="A75941" w:themeColor="accent4" w:themeShade="BF"/>
      <w:sz w:val="18"/>
    </w:rPr>
    <w:tblPr>
      <w:tblStyleRowBandSize w:val="1"/>
      <w:tblStyleColBandSize w:val="1"/>
    </w:tblPr>
    <w:tblStylePr w:type="firstRow">
      <w:rPr>
        <w:rFonts w:asciiTheme="majorHAnsi" w:eastAsiaTheme="majorEastAsia" w:hAnsiTheme="majorHAnsi" w:cstheme="majorBidi"/>
        <w:i/>
        <w:iCs/>
        <w:sz w:val="18"/>
      </w:rPr>
      <w:tblPr/>
      <w:tcPr>
        <w:tcBorders>
          <w:bottom w:val="single" w:sz="4" w:space="0" w:color="C78570" w:themeColor="accent4"/>
        </w:tcBorders>
        <w:shd w:val="clear" w:color="auto" w:fill="FFFFFF" w:themeFill="background1"/>
      </w:tcPr>
    </w:tblStylePr>
    <w:tblStylePr w:type="lastRow">
      <w:rPr>
        <w:rFonts w:asciiTheme="majorHAnsi" w:eastAsiaTheme="majorEastAsia" w:hAnsiTheme="majorHAnsi" w:cstheme="majorBidi"/>
        <w:i/>
        <w:iCs/>
        <w:sz w:val="18"/>
      </w:rPr>
      <w:tblPr/>
      <w:tcPr>
        <w:tcBorders>
          <w:top w:val="single" w:sz="4" w:space="0" w:color="C78570" w:themeColor="accent4"/>
        </w:tcBorders>
        <w:shd w:val="clear" w:color="auto" w:fill="FFFFFF" w:themeFill="background1"/>
      </w:tcPr>
    </w:tblStylePr>
    <w:tblStylePr w:type="firstCol">
      <w:pPr>
        <w:jc w:val="right"/>
      </w:pPr>
      <w:rPr>
        <w:rFonts w:asciiTheme="majorHAnsi" w:eastAsiaTheme="majorEastAsia" w:hAnsiTheme="majorHAnsi" w:cstheme="majorBidi"/>
        <w:i/>
        <w:iCs/>
        <w:sz w:val="18"/>
      </w:rPr>
      <w:tblPr/>
      <w:tcPr>
        <w:tcBorders>
          <w:right w:val="single" w:sz="4" w:space="0" w:color="C78570" w:themeColor="accent4"/>
        </w:tcBorders>
        <w:shd w:val="clear" w:color="auto" w:fill="FFFFFF" w:themeFill="background1"/>
      </w:tcPr>
    </w:tblStylePr>
    <w:tblStylePr w:type="lastCol">
      <w:rPr>
        <w:rFonts w:asciiTheme="majorHAnsi" w:eastAsiaTheme="majorEastAsia" w:hAnsiTheme="majorHAnsi" w:cstheme="majorBidi"/>
        <w:i/>
        <w:iCs/>
        <w:sz w:val="18"/>
      </w:rPr>
      <w:tblPr/>
      <w:tcPr>
        <w:tcBorders>
          <w:left w:val="single" w:sz="4" w:space="0" w:color="C78570" w:themeColor="accent4"/>
        </w:tcBorders>
        <w:shd w:val="clear" w:color="auto" w:fill="FFFFFF" w:themeFill="background1"/>
      </w:tcPr>
    </w:tblStylePr>
    <w:tblStylePr w:type="band1Vert">
      <w:tblPr/>
      <w:tcPr>
        <w:shd w:val="clear" w:color="auto" w:fill="F3E6E2" w:themeFill="accent4" w:themeFillTint="33"/>
      </w:tcPr>
    </w:tblStylePr>
    <w:tblStylePr w:type="band1Horz">
      <w:tblPr/>
      <w:tcPr>
        <w:shd w:val="clear" w:color="auto" w:fill="F3E6E2"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6ColourfulAccent6">
    <w:name w:val="List Table 6 Colorful Accent 6"/>
    <w:basedOn w:val="TableNormal"/>
    <w:uiPriority w:val="51"/>
    <w:rsid w:val="00B66C99"/>
    <w:pPr>
      <w:spacing w:after="0" w:line="240" w:lineRule="auto"/>
    </w:pPr>
    <w:rPr>
      <w:sz w:val="18"/>
    </w:rPr>
    <w:tblPr>
      <w:tblStyleRowBandSize w:val="1"/>
      <w:tblStyleColBandSize w:val="1"/>
      <w:tblBorders>
        <w:top w:val="single" w:sz="4" w:space="0" w:color="E4E1DC" w:themeColor="accent6"/>
        <w:bottom w:val="single" w:sz="4" w:space="0" w:color="E4E1DC" w:themeColor="accent6"/>
      </w:tblBorders>
    </w:tblPr>
    <w:tblStylePr w:type="firstRow">
      <w:rPr>
        <w:rFonts w:asciiTheme="minorHAnsi" w:hAnsiTheme="minorHAnsi"/>
        <w:b/>
        <w:bCs/>
        <w:sz w:val="18"/>
      </w:rPr>
      <w:tblPr/>
      <w:tcPr>
        <w:tcBorders>
          <w:bottom w:val="single" w:sz="4" w:space="0" w:color="E4E1DC" w:themeColor="accent6"/>
        </w:tcBorders>
      </w:tcPr>
    </w:tblStylePr>
    <w:tblStylePr w:type="lastRow">
      <w:rPr>
        <w:rFonts w:asciiTheme="minorHAnsi" w:hAnsiTheme="minorHAnsi"/>
        <w:b/>
        <w:bCs/>
        <w:sz w:val="18"/>
      </w:rPr>
      <w:tblPr/>
      <w:tcPr>
        <w:tcBorders>
          <w:top w:val="double" w:sz="4" w:space="0" w:color="E4E1DC" w:themeColor="accent6"/>
        </w:tcBorders>
      </w:tcPr>
    </w:tblStylePr>
    <w:tblStylePr w:type="firstCol">
      <w:rPr>
        <w:rFonts w:asciiTheme="minorHAnsi" w:hAnsiTheme="minorHAnsi"/>
        <w:b/>
        <w:bCs/>
        <w:sz w:val="18"/>
      </w:rPr>
    </w:tblStylePr>
    <w:tblStylePr w:type="lastCol">
      <w:rPr>
        <w:rFonts w:asciiTheme="minorHAnsi" w:hAnsiTheme="minorHAnsi"/>
        <w:b/>
        <w:bCs/>
        <w:sz w:val="18"/>
      </w:rPr>
    </w:tblStylePr>
    <w:tblStylePr w:type="band1Vert">
      <w:tblPr/>
      <w:tcPr>
        <w:shd w:val="clear" w:color="auto" w:fill="F9F8F7" w:themeFill="accent6" w:themeFillTint="33"/>
      </w:tcPr>
    </w:tblStylePr>
    <w:tblStylePr w:type="band1Horz">
      <w:tblPr/>
      <w:tcPr>
        <w:shd w:val="clear" w:color="auto" w:fill="F9F8F7" w:themeFill="accent6" w:themeFillTint="33"/>
      </w:tcPr>
    </w:tblStylePr>
  </w:style>
  <w:style w:type="table" w:styleId="ListTable5Dark-Accent6">
    <w:name w:val="List Table 5 Dark Accent 6"/>
    <w:basedOn w:val="TableNormal"/>
    <w:uiPriority w:val="50"/>
    <w:rsid w:val="00B66C99"/>
    <w:pPr>
      <w:spacing w:after="0" w:line="240" w:lineRule="auto"/>
    </w:pPr>
    <w:rPr>
      <w:sz w:val="18"/>
    </w:rPr>
    <w:tblPr>
      <w:tblStyleRowBandSize w:val="1"/>
      <w:tblStyleColBandSize w:val="1"/>
      <w:tblBorders>
        <w:top w:val="single" w:sz="24" w:space="0" w:color="E4E1DC" w:themeColor="accent6"/>
        <w:left w:val="single" w:sz="24" w:space="0" w:color="E4E1DC" w:themeColor="accent6"/>
        <w:bottom w:val="single" w:sz="24" w:space="0" w:color="E4E1DC" w:themeColor="accent6"/>
        <w:right w:val="single" w:sz="24" w:space="0" w:color="E4E1DC" w:themeColor="accent6"/>
      </w:tblBorders>
    </w:tblPr>
    <w:tcPr>
      <w:shd w:val="clear" w:color="auto" w:fill="E4E1D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4-Accent6">
    <w:name w:val="List Table 4 Accent 6"/>
    <w:basedOn w:val="TableNormal"/>
    <w:uiPriority w:val="49"/>
    <w:rsid w:val="00B66C99"/>
    <w:pPr>
      <w:spacing w:after="0" w:line="240" w:lineRule="auto"/>
    </w:pPr>
    <w:rPr>
      <w:sz w:val="18"/>
    </w:rPr>
    <w:tblPr>
      <w:tblStyleRowBandSize w:val="1"/>
      <w:tblStyleColBandSize w:val="1"/>
      <w:tblBorders>
        <w:top w:val="single" w:sz="4" w:space="0" w:color="EEECE9" w:themeColor="accent6" w:themeTint="99"/>
        <w:left w:val="single" w:sz="4" w:space="0" w:color="EEECE9" w:themeColor="accent6" w:themeTint="99"/>
        <w:bottom w:val="single" w:sz="4" w:space="0" w:color="EEECE9" w:themeColor="accent6" w:themeTint="99"/>
        <w:right w:val="single" w:sz="4" w:space="0" w:color="EEECE9" w:themeColor="accent6" w:themeTint="99"/>
        <w:insideH w:val="single" w:sz="4" w:space="0" w:color="EEECE9" w:themeColor="accent6" w:themeTint="99"/>
      </w:tblBorders>
    </w:tblPr>
    <w:tblStylePr w:type="firstRow">
      <w:rPr>
        <w:b/>
        <w:bCs/>
        <w:color w:val="auto"/>
      </w:rPr>
      <w:tblPr/>
      <w:tcPr>
        <w:tcBorders>
          <w:top w:val="single" w:sz="4" w:space="0" w:color="E4E1DC" w:themeColor="accent6"/>
          <w:left w:val="single" w:sz="4" w:space="0" w:color="E4E1DC" w:themeColor="accent6"/>
          <w:bottom w:val="single" w:sz="4" w:space="0" w:color="E4E1DC" w:themeColor="accent6"/>
          <w:right w:val="single" w:sz="4" w:space="0" w:color="E4E1DC" w:themeColor="accent6"/>
          <w:insideH w:val="nil"/>
        </w:tcBorders>
        <w:shd w:val="clear" w:color="auto" w:fill="E4E1DC" w:themeFill="accent6"/>
      </w:tcPr>
    </w:tblStylePr>
    <w:tblStylePr w:type="lastRow">
      <w:rPr>
        <w:b/>
        <w:bCs/>
      </w:rPr>
      <w:tblPr/>
      <w:tcPr>
        <w:tcBorders>
          <w:top w:val="double" w:sz="4" w:space="0" w:color="EEECE9" w:themeColor="accent6" w:themeTint="99"/>
        </w:tcBorders>
      </w:tcPr>
    </w:tblStylePr>
    <w:tblStylePr w:type="firstCol">
      <w:rPr>
        <w:b/>
        <w:bCs/>
      </w:rPr>
    </w:tblStylePr>
    <w:tblStylePr w:type="lastCol">
      <w:rPr>
        <w:b/>
        <w:bCs/>
      </w:rPr>
    </w:tblStylePr>
    <w:tblStylePr w:type="band1Vert">
      <w:tblPr/>
      <w:tcPr>
        <w:shd w:val="clear" w:color="auto" w:fill="F9F8F7" w:themeFill="accent6" w:themeFillTint="33"/>
      </w:tcPr>
    </w:tblStylePr>
    <w:tblStylePr w:type="band1Horz">
      <w:tblPr/>
      <w:tcPr>
        <w:shd w:val="clear" w:color="auto" w:fill="F9F8F7" w:themeFill="accent6" w:themeFillTint="33"/>
      </w:tcPr>
    </w:tblStylePr>
  </w:style>
  <w:style w:type="table" w:styleId="ListTable3-Accent6">
    <w:name w:val="List Table 3 Accent 6"/>
    <w:basedOn w:val="TableNormal"/>
    <w:uiPriority w:val="48"/>
    <w:rsid w:val="00B66C99"/>
    <w:pPr>
      <w:spacing w:after="0" w:line="240" w:lineRule="auto"/>
    </w:pPr>
    <w:rPr>
      <w:sz w:val="18"/>
    </w:rPr>
    <w:tblPr>
      <w:tblStyleRowBandSize w:val="1"/>
      <w:tblStyleColBandSize w:val="1"/>
      <w:tblBorders>
        <w:top w:val="single" w:sz="4" w:space="0" w:color="E4E1DC" w:themeColor="accent6"/>
        <w:left w:val="single" w:sz="4" w:space="0" w:color="E4E1DC" w:themeColor="accent6"/>
        <w:bottom w:val="single" w:sz="4" w:space="0" w:color="E4E1DC" w:themeColor="accent6"/>
        <w:right w:val="single" w:sz="4" w:space="0" w:color="E4E1DC" w:themeColor="accent6"/>
      </w:tblBorders>
    </w:tblPr>
    <w:tblStylePr w:type="firstRow">
      <w:rPr>
        <w:b/>
        <w:bCs/>
        <w:color w:val="auto"/>
      </w:rPr>
      <w:tblPr/>
      <w:tcPr>
        <w:shd w:val="clear" w:color="auto" w:fill="E4E1DC" w:themeFill="accent6"/>
      </w:tcPr>
    </w:tblStylePr>
    <w:tblStylePr w:type="lastRow">
      <w:rPr>
        <w:b/>
        <w:bCs/>
      </w:rPr>
      <w:tblPr/>
      <w:tcPr>
        <w:tcBorders>
          <w:top w:val="double" w:sz="4" w:space="0" w:color="E4E1D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4E1DC" w:themeColor="accent6"/>
          <w:right w:val="single" w:sz="4" w:space="0" w:color="E4E1DC" w:themeColor="accent6"/>
        </w:tcBorders>
      </w:tcPr>
    </w:tblStylePr>
    <w:tblStylePr w:type="band1Horz">
      <w:tblPr/>
      <w:tcPr>
        <w:tcBorders>
          <w:top w:val="single" w:sz="4" w:space="0" w:color="E4E1DC" w:themeColor="accent6"/>
          <w:bottom w:val="single" w:sz="4" w:space="0" w:color="E4E1D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4E1DC" w:themeColor="accent6"/>
          <w:left w:val="nil"/>
        </w:tcBorders>
      </w:tcPr>
    </w:tblStylePr>
    <w:tblStylePr w:type="swCell">
      <w:tblPr/>
      <w:tcPr>
        <w:tcBorders>
          <w:top w:val="double" w:sz="4" w:space="0" w:color="E4E1DC" w:themeColor="accent6"/>
          <w:right w:val="nil"/>
        </w:tcBorders>
      </w:tcPr>
    </w:tblStylePr>
  </w:style>
  <w:style w:type="table" w:styleId="ListTable2-Accent6">
    <w:name w:val="List Table 2 Accent 6"/>
    <w:basedOn w:val="TableNormal"/>
    <w:uiPriority w:val="47"/>
    <w:rsid w:val="00B66C99"/>
    <w:pPr>
      <w:spacing w:after="0" w:line="240" w:lineRule="auto"/>
    </w:pPr>
    <w:rPr>
      <w:sz w:val="18"/>
    </w:rPr>
    <w:tblPr>
      <w:tblStyleRowBandSize w:val="1"/>
      <w:tblStyleColBandSize w:val="1"/>
      <w:tblBorders>
        <w:top w:val="single" w:sz="4" w:space="0" w:color="EEECE9" w:themeColor="accent6" w:themeTint="99"/>
        <w:bottom w:val="single" w:sz="4" w:space="0" w:color="EEECE9" w:themeColor="accent6" w:themeTint="99"/>
        <w:insideH w:val="single" w:sz="4" w:space="0" w:color="EEECE9"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F8F7" w:themeFill="accent6" w:themeFillTint="33"/>
      </w:tcPr>
    </w:tblStylePr>
    <w:tblStylePr w:type="band1Horz">
      <w:tblPr/>
      <w:tcPr>
        <w:shd w:val="clear" w:color="auto" w:fill="F9F8F7" w:themeFill="accent6" w:themeFillTint="33"/>
      </w:tcPr>
    </w:tblStylePr>
  </w:style>
  <w:style w:type="table" w:styleId="ListTable1Light-Accent6">
    <w:name w:val="List Table 1 Light Accent 6"/>
    <w:basedOn w:val="TableNormal"/>
    <w:uiPriority w:val="46"/>
    <w:rsid w:val="00B66C99"/>
    <w:pPr>
      <w:spacing w:after="0" w:line="240" w:lineRule="auto"/>
    </w:pPr>
    <w:rPr>
      <w:sz w:val="18"/>
    </w:rPr>
    <w:tblPr>
      <w:tblStyleRowBandSize w:val="1"/>
      <w:tblStyleColBandSize w:val="1"/>
    </w:tblPr>
    <w:tblStylePr w:type="firstRow">
      <w:rPr>
        <w:b/>
        <w:bCs/>
      </w:rPr>
      <w:tblPr/>
      <w:tcPr>
        <w:tcBorders>
          <w:bottom w:val="single" w:sz="4" w:space="0" w:color="EEECE9" w:themeColor="accent6" w:themeTint="99"/>
        </w:tcBorders>
      </w:tcPr>
    </w:tblStylePr>
    <w:tblStylePr w:type="lastRow">
      <w:rPr>
        <w:b/>
        <w:bCs/>
      </w:rPr>
      <w:tblPr/>
      <w:tcPr>
        <w:tcBorders>
          <w:top w:val="single" w:sz="4" w:space="0" w:color="EEECE9" w:themeColor="accent6" w:themeTint="99"/>
        </w:tcBorders>
      </w:tcPr>
    </w:tblStylePr>
    <w:tblStylePr w:type="firstCol">
      <w:rPr>
        <w:b/>
        <w:bCs/>
      </w:rPr>
    </w:tblStylePr>
    <w:tblStylePr w:type="lastCol">
      <w:rPr>
        <w:b/>
        <w:bCs/>
      </w:rPr>
    </w:tblStylePr>
    <w:tblStylePr w:type="band1Vert">
      <w:tblPr/>
      <w:tcPr>
        <w:shd w:val="clear" w:color="auto" w:fill="F9F8F7" w:themeFill="accent6" w:themeFillTint="33"/>
      </w:tcPr>
    </w:tblStylePr>
    <w:tblStylePr w:type="band1Horz">
      <w:tblPr/>
      <w:tcPr>
        <w:shd w:val="clear" w:color="auto" w:fill="F9F8F7" w:themeFill="accent6" w:themeFillTint="33"/>
      </w:tcPr>
    </w:tblStylePr>
  </w:style>
  <w:style w:type="table" w:styleId="GridTable7ColourfulAccent6">
    <w:name w:val="Grid Table 7 Colorful Accent 6"/>
    <w:basedOn w:val="TableNormal"/>
    <w:uiPriority w:val="52"/>
    <w:rsid w:val="00B66C99"/>
    <w:pPr>
      <w:spacing w:after="0" w:line="240" w:lineRule="auto"/>
    </w:pPr>
    <w:rPr>
      <w:sz w:val="18"/>
    </w:rPr>
    <w:tblPr>
      <w:tblStyleRowBandSize w:val="1"/>
      <w:tblStyleColBandSize w:val="1"/>
      <w:tblBorders>
        <w:top w:val="single" w:sz="4" w:space="0" w:color="EEECE9" w:themeColor="accent6" w:themeTint="99"/>
        <w:left w:val="single" w:sz="4" w:space="0" w:color="EEECE9" w:themeColor="accent6" w:themeTint="99"/>
        <w:bottom w:val="single" w:sz="4" w:space="0" w:color="EEECE9" w:themeColor="accent6" w:themeTint="99"/>
        <w:right w:val="single" w:sz="4" w:space="0" w:color="EEECE9" w:themeColor="accent6" w:themeTint="99"/>
        <w:insideH w:val="single" w:sz="4" w:space="0" w:color="EEECE9" w:themeColor="accent6" w:themeTint="99"/>
        <w:insideV w:val="single" w:sz="4" w:space="0" w:color="EEECE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8F7" w:themeFill="accent6" w:themeFillTint="33"/>
      </w:tcPr>
    </w:tblStylePr>
    <w:tblStylePr w:type="band1Horz">
      <w:tblPr/>
      <w:tcPr>
        <w:shd w:val="clear" w:color="auto" w:fill="F9F8F7" w:themeFill="accent6" w:themeFillTint="33"/>
      </w:tcPr>
    </w:tblStylePr>
    <w:tblStylePr w:type="neCell">
      <w:tblPr/>
      <w:tcPr>
        <w:tcBorders>
          <w:bottom w:val="single" w:sz="4" w:space="0" w:color="EEECE9" w:themeColor="accent6" w:themeTint="99"/>
        </w:tcBorders>
      </w:tcPr>
    </w:tblStylePr>
    <w:tblStylePr w:type="nwCell">
      <w:tblPr/>
      <w:tcPr>
        <w:tcBorders>
          <w:bottom w:val="single" w:sz="4" w:space="0" w:color="EEECE9" w:themeColor="accent6" w:themeTint="99"/>
        </w:tcBorders>
      </w:tcPr>
    </w:tblStylePr>
    <w:tblStylePr w:type="seCell">
      <w:tblPr/>
      <w:tcPr>
        <w:tcBorders>
          <w:top w:val="single" w:sz="4" w:space="0" w:color="EEECE9" w:themeColor="accent6" w:themeTint="99"/>
        </w:tcBorders>
      </w:tcPr>
    </w:tblStylePr>
    <w:tblStylePr w:type="swCell">
      <w:tblPr/>
      <w:tcPr>
        <w:tcBorders>
          <w:top w:val="single" w:sz="4" w:space="0" w:color="EEECE9" w:themeColor="accent6" w:themeTint="99"/>
        </w:tcBorders>
      </w:tcPr>
    </w:tblStylePr>
  </w:style>
  <w:style w:type="table" w:styleId="GridTable6ColourfulAccent6">
    <w:name w:val="Grid Table 6 Colorful Accent 6"/>
    <w:basedOn w:val="TableNormal"/>
    <w:uiPriority w:val="51"/>
    <w:rsid w:val="00745914"/>
    <w:pPr>
      <w:spacing w:after="0" w:line="240" w:lineRule="auto"/>
    </w:pPr>
    <w:rPr>
      <w:sz w:val="18"/>
    </w:rPr>
    <w:tblPr>
      <w:tblStyleRowBandSize w:val="1"/>
      <w:tblStyleColBandSize w:val="1"/>
      <w:tblBorders>
        <w:top w:val="single" w:sz="4" w:space="0" w:color="EEECE9" w:themeColor="accent6" w:themeTint="99"/>
        <w:left w:val="single" w:sz="4" w:space="0" w:color="EEECE9" w:themeColor="accent6" w:themeTint="99"/>
        <w:bottom w:val="single" w:sz="4" w:space="0" w:color="EEECE9" w:themeColor="accent6" w:themeTint="99"/>
        <w:right w:val="single" w:sz="4" w:space="0" w:color="EEECE9" w:themeColor="accent6" w:themeTint="99"/>
        <w:insideH w:val="single" w:sz="4" w:space="0" w:color="EEECE9" w:themeColor="accent6" w:themeTint="99"/>
        <w:insideV w:val="single" w:sz="4" w:space="0" w:color="EEECE9" w:themeColor="accent6" w:themeTint="99"/>
      </w:tblBorders>
    </w:tblPr>
    <w:tblStylePr w:type="firstRow">
      <w:rPr>
        <w:b/>
        <w:bCs/>
      </w:rPr>
      <w:tblPr/>
      <w:tcPr>
        <w:tcBorders>
          <w:bottom w:val="single" w:sz="12" w:space="0" w:color="EEECE9" w:themeColor="accent6" w:themeTint="99"/>
        </w:tcBorders>
      </w:tcPr>
    </w:tblStylePr>
    <w:tblStylePr w:type="lastRow">
      <w:rPr>
        <w:b/>
        <w:bCs/>
      </w:rPr>
      <w:tblPr/>
      <w:tcPr>
        <w:tcBorders>
          <w:top w:val="double" w:sz="4" w:space="0" w:color="EEECE9" w:themeColor="accent6" w:themeTint="99"/>
        </w:tcBorders>
      </w:tcPr>
    </w:tblStylePr>
    <w:tblStylePr w:type="firstCol">
      <w:rPr>
        <w:b/>
        <w:bCs/>
      </w:rPr>
    </w:tblStylePr>
    <w:tblStylePr w:type="lastCol">
      <w:rPr>
        <w:b/>
        <w:bCs/>
      </w:rPr>
    </w:tblStylePr>
    <w:tblStylePr w:type="band1Vert">
      <w:tblPr/>
      <w:tcPr>
        <w:shd w:val="clear" w:color="auto" w:fill="F9F8F7" w:themeFill="accent6" w:themeFillTint="33"/>
      </w:tcPr>
    </w:tblStylePr>
    <w:tblStylePr w:type="band1Horz">
      <w:tblPr/>
      <w:tcPr>
        <w:shd w:val="clear" w:color="auto" w:fill="F9F8F7" w:themeFill="accent6" w:themeFillTint="33"/>
      </w:tcPr>
    </w:tblStylePr>
  </w:style>
  <w:style w:type="table" w:styleId="GridTable5Dark-Accent6">
    <w:name w:val="Grid Table 5 Dark Accent 6"/>
    <w:basedOn w:val="TableNormal"/>
    <w:uiPriority w:val="50"/>
    <w:rsid w:val="00745914"/>
    <w:pPr>
      <w:spacing w:after="0" w:line="240" w:lineRule="auto"/>
    </w:pPr>
    <w:rPr>
      <w:sz w:val="18"/>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F8F7" w:themeFill="accent6" w:themeFillTint="33"/>
    </w:tcPr>
    <w:tblStylePr w:type="firstRow">
      <w:rPr>
        <w:b/>
        <w:bCs/>
        <w:color w:val="auto"/>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4E1DC" w:themeFill="accent6"/>
      </w:tcPr>
    </w:tblStylePr>
    <w:tblStylePr w:type="lastRow">
      <w:rPr>
        <w:b/>
        <w:bCs/>
        <w:color w:val="auto"/>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4E1DC" w:themeFill="accent6"/>
      </w:tcPr>
    </w:tblStylePr>
    <w:tblStylePr w:type="firstCol">
      <w:rPr>
        <w:b/>
        <w:bCs/>
        <w:color w:val="auto"/>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4E1DC" w:themeFill="accent6"/>
      </w:tcPr>
    </w:tblStylePr>
    <w:tblStylePr w:type="lastCol">
      <w:rPr>
        <w:b/>
        <w:bCs/>
        <w:color w:val="auto"/>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4E1DC" w:themeFill="accent6"/>
      </w:tcPr>
    </w:tblStylePr>
    <w:tblStylePr w:type="band1Vert">
      <w:tblPr/>
      <w:tcPr>
        <w:shd w:val="clear" w:color="auto" w:fill="F4F2F0" w:themeFill="accent6" w:themeFillTint="66"/>
      </w:tcPr>
    </w:tblStylePr>
    <w:tblStylePr w:type="band1Horz">
      <w:tblPr/>
      <w:tcPr>
        <w:shd w:val="clear" w:color="auto" w:fill="F4F2F0" w:themeFill="accent6" w:themeFillTint="66"/>
      </w:tcPr>
    </w:tblStylePr>
  </w:style>
  <w:style w:type="table" w:styleId="GridTable4-Accent6">
    <w:name w:val="Grid Table 4 Accent 6"/>
    <w:basedOn w:val="TableNormal"/>
    <w:uiPriority w:val="49"/>
    <w:rsid w:val="00745914"/>
    <w:pPr>
      <w:spacing w:after="0" w:line="240" w:lineRule="auto"/>
    </w:pPr>
    <w:rPr>
      <w:sz w:val="18"/>
    </w:rPr>
    <w:tblPr>
      <w:tblStyleRowBandSize w:val="1"/>
      <w:tblStyleColBandSize w:val="1"/>
      <w:tblBorders>
        <w:top w:val="single" w:sz="4" w:space="0" w:color="EEECE9" w:themeColor="accent6" w:themeTint="99"/>
        <w:left w:val="single" w:sz="4" w:space="0" w:color="EEECE9" w:themeColor="accent6" w:themeTint="99"/>
        <w:bottom w:val="single" w:sz="4" w:space="0" w:color="EEECE9" w:themeColor="accent6" w:themeTint="99"/>
        <w:right w:val="single" w:sz="4" w:space="0" w:color="EEECE9" w:themeColor="accent6" w:themeTint="99"/>
        <w:insideH w:val="single" w:sz="4" w:space="0" w:color="EEECE9" w:themeColor="accent6" w:themeTint="99"/>
        <w:insideV w:val="single" w:sz="4" w:space="0" w:color="EEECE9" w:themeColor="accent6" w:themeTint="99"/>
      </w:tblBorders>
    </w:tblPr>
    <w:tblStylePr w:type="firstRow">
      <w:rPr>
        <w:b/>
        <w:bCs/>
        <w:color w:val="auto"/>
      </w:rPr>
      <w:tblPr/>
      <w:tcPr>
        <w:tcBorders>
          <w:top w:val="single" w:sz="4" w:space="0" w:color="E4E1DC" w:themeColor="accent6"/>
          <w:left w:val="single" w:sz="4" w:space="0" w:color="E4E1DC" w:themeColor="accent6"/>
          <w:bottom w:val="single" w:sz="4" w:space="0" w:color="E4E1DC" w:themeColor="accent6"/>
          <w:right w:val="single" w:sz="4" w:space="0" w:color="E4E1DC" w:themeColor="accent6"/>
          <w:insideH w:val="nil"/>
          <w:insideV w:val="nil"/>
        </w:tcBorders>
        <w:shd w:val="clear" w:color="auto" w:fill="E4E1DC" w:themeFill="accent6"/>
      </w:tcPr>
    </w:tblStylePr>
    <w:tblStylePr w:type="lastRow">
      <w:rPr>
        <w:b/>
        <w:bCs/>
      </w:rPr>
      <w:tblPr/>
      <w:tcPr>
        <w:tcBorders>
          <w:top w:val="double" w:sz="4" w:space="0" w:color="E4E1DC" w:themeColor="accent6"/>
        </w:tcBorders>
      </w:tcPr>
    </w:tblStylePr>
    <w:tblStylePr w:type="firstCol">
      <w:rPr>
        <w:b/>
        <w:bCs/>
      </w:rPr>
    </w:tblStylePr>
    <w:tblStylePr w:type="lastCol">
      <w:rPr>
        <w:b/>
        <w:bCs/>
      </w:rPr>
    </w:tblStylePr>
    <w:tblStylePr w:type="band1Vert">
      <w:tblPr/>
      <w:tcPr>
        <w:shd w:val="clear" w:color="auto" w:fill="F9F8F7" w:themeFill="accent6" w:themeFillTint="33"/>
      </w:tcPr>
    </w:tblStylePr>
    <w:tblStylePr w:type="band1Horz">
      <w:tblPr/>
      <w:tcPr>
        <w:shd w:val="clear" w:color="auto" w:fill="F9F8F7" w:themeFill="accent6" w:themeFillTint="33"/>
      </w:tcPr>
    </w:tblStylePr>
  </w:style>
  <w:style w:type="table" w:styleId="GridTable3-Accent6">
    <w:name w:val="Grid Table 3 Accent 6"/>
    <w:basedOn w:val="TableNormal"/>
    <w:uiPriority w:val="48"/>
    <w:rsid w:val="00673420"/>
    <w:pPr>
      <w:spacing w:after="0" w:line="240" w:lineRule="auto"/>
    </w:pPr>
    <w:rPr>
      <w:sz w:val="18"/>
    </w:rPr>
    <w:tblPr>
      <w:tblStyleRowBandSize w:val="1"/>
      <w:tblStyleColBandSize w:val="1"/>
      <w:tblBorders>
        <w:top w:val="single" w:sz="4" w:space="0" w:color="EEECE9" w:themeColor="accent6" w:themeTint="99"/>
        <w:left w:val="single" w:sz="4" w:space="0" w:color="EEECE9" w:themeColor="accent6" w:themeTint="99"/>
        <w:bottom w:val="single" w:sz="4" w:space="0" w:color="EEECE9" w:themeColor="accent6" w:themeTint="99"/>
        <w:right w:val="single" w:sz="4" w:space="0" w:color="EEECE9" w:themeColor="accent6" w:themeTint="99"/>
        <w:insideH w:val="single" w:sz="4" w:space="0" w:color="EEECE9" w:themeColor="accent6" w:themeTint="99"/>
        <w:insideV w:val="single" w:sz="4" w:space="0" w:color="EEECE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8F7" w:themeFill="accent6" w:themeFillTint="33"/>
      </w:tcPr>
    </w:tblStylePr>
    <w:tblStylePr w:type="band1Horz">
      <w:tblPr/>
      <w:tcPr>
        <w:shd w:val="clear" w:color="auto" w:fill="F9F8F7" w:themeFill="accent6" w:themeFillTint="33"/>
      </w:tcPr>
    </w:tblStylePr>
    <w:tblStylePr w:type="neCell">
      <w:tblPr/>
      <w:tcPr>
        <w:tcBorders>
          <w:bottom w:val="single" w:sz="4" w:space="0" w:color="EEECE9" w:themeColor="accent6" w:themeTint="99"/>
        </w:tcBorders>
      </w:tcPr>
    </w:tblStylePr>
    <w:tblStylePr w:type="nwCell">
      <w:tblPr/>
      <w:tcPr>
        <w:tcBorders>
          <w:bottom w:val="single" w:sz="4" w:space="0" w:color="EEECE9" w:themeColor="accent6" w:themeTint="99"/>
        </w:tcBorders>
      </w:tcPr>
    </w:tblStylePr>
    <w:tblStylePr w:type="seCell">
      <w:tblPr/>
      <w:tcPr>
        <w:tcBorders>
          <w:top w:val="single" w:sz="4" w:space="0" w:color="EEECE9" w:themeColor="accent6" w:themeTint="99"/>
        </w:tcBorders>
      </w:tcPr>
    </w:tblStylePr>
    <w:tblStylePr w:type="swCell">
      <w:tblPr/>
      <w:tcPr>
        <w:tcBorders>
          <w:top w:val="single" w:sz="4" w:space="0" w:color="EEECE9" w:themeColor="accent6" w:themeTint="99"/>
        </w:tcBorders>
      </w:tcPr>
    </w:tblStylePr>
  </w:style>
  <w:style w:type="table" w:styleId="GridTable2-Accent6">
    <w:name w:val="Grid Table 2 Accent 6"/>
    <w:basedOn w:val="TableNormal"/>
    <w:uiPriority w:val="47"/>
    <w:rsid w:val="00A350E1"/>
    <w:pPr>
      <w:spacing w:after="0" w:line="240" w:lineRule="auto"/>
    </w:pPr>
    <w:rPr>
      <w:sz w:val="18"/>
    </w:rPr>
    <w:tblPr>
      <w:tblStyleRowBandSize w:val="1"/>
      <w:tblStyleColBandSize w:val="1"/>
      <w:tblBorders>
        <w:top w:val="single" w:sz="2" w:space="0" w:color="EEECE9" w:themeColor="accent6" w:themeTint="99"/>
        <w:bottom w:val="single" w:sz="2" w:space="0" w:color="EEECE9" w:themeColor="accent6" w:themeTint="99"/>
        <w:insideH w:val="single" w:sz="2" w:space="0" w:color="EEECE9" w:themeColor="accent6" w:themeTint="99"/>
        <w:insideV w:val="single" w:sz="2" w:space="0" w:color="EEECE9" w:themeColor="accent6" w:themeTint="99"/>
      </w:tblBorders>
    </w:tblPr>
    <w:tblStylePr w:type="firstRow">
      <w:rPr>
        <w:b/>
        <w:bCs/>
      </w:rPr>
      <w:tblPr/>
      <w:tcPr>
        <w:tcBorders>
          <w:top w:val="nil"/>
          <w:bottom w:val="single" w:sz="12" w:space="0" w:color="EEECE9" w:themeColor="accent6" w:themeTint="99"/>
          <w:insideH w:val="nil"/>
          <w:insideV w:val="nil"/>
        </w:tcBorders>
        <w:shd w:val="clear" w:color="auto" w:fill="FFFFFF" w:themeFill="background1"/>
      </w:tcPr>
    </w:tblStylePr>
    <w:tblStylePr w:type="lastRow">
      <w:rPr>
        <w:b/>
        <w:bCs/>
      </w:rPr>
      <w:tblPr/>
      <w:tcPr>
        <w:tcBorders>
          <w:top w:val="double" w:sz="2" w:space="0" w:color="EEECE9"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F8F7" w:themeFill="accent6" w:themeFillTint="33"/>
      </w:tcPr>
    </w:tblStylePr>
    <w:tblStylePr w:type="band1Horz">
      <w:tblPr/>
      <w:tcPr>
        <w:shd w:val="clear" w:color="auto" w:fill="F9F8F7" w:themeFill="accent6" w:themeFillTint="33"/>
      </w:tcPr>
    </w:tblStylePr>
  </w:style>
  <w:style w:type="table" w:styleId="GridTable1Light-Accent6">
    <w:name w:val="Grid Table 1 Light Accent 6"/>
    <w:basedOn w:val="TableNormal"/>
    <w:uiPriority w:val="46"/>
    <w:rsid w:val="001E09CE"/>
    <w:pPr>
      <w:spacing w:after="0" w:line="240" w:lineRule="auto"/>
    </w:pPr>
    <w:rPr>
      <w:sz w:val="18"/>
    </w:rPr>
    <w:tblPr>
      <w:tblStyleRowBandSize w:val="1"/>
      <w:tblStyleColBandSize w:val="1"/>
      <w:tblBorders>
        <w:top w:val="single" w:sz="4" w:space="0" w:color="F4F2F0" w:themeColor="accent6" w:themeTint="66"/>
        <w:left w:val="single" w:sz="4" w:space="0" w:color="F4F2F0" w:themeColor="accent6" w:themeTint="66"/>
        <w:bottom w:val="single" w:sz="4" w:space="0" w:color="F4F2F0" w:themeColor="accent6" w:themeTint="66"/>
        <w:right w:val="single" w:sz="4" w:space="0" w:color="F4F2F0" w:themeColor="accent6" w:themeTint="66"/>
        <w:insideH w:val="single" w:sz="4" w:space="0" w:color="F4F2F0" w:themeColor="accent6" w:themeTint="66"/>
        <w:insideV w:val="single" w:sz="4" w:space="0" w:color="F4F2F0" w:themeColor="accent6" w:themeTint="66"/>
      </w:tblBorders>
    </w:tblPr>
    <w:tblStylePr w:type="firstRow">
      <w:rPr>
        <w:b/>
        <w:bCs/>
      </w:rPr>
      <w:tblPr/>
      <w:tcPr>
        <w:tcBorders>
          <w:bottom w:val="single" w:sz="12" w:space="0" w:color="EEECE9" w:themeColor="accent6" w:themeTint="99"/>
        </w:tcBorders>
      </w:tcPr>
    </w:tblStylePr>
    <w:tblStylePr w:type="lastRow">
      <w:rPr>
        <w:b/>
        <w:bCs/>
      </w:rPr>
      <w:tblPr/>
      <w:tcPr>
        <w:tcBorders>
          <w:top w:val="double" w:sz="2" w:space="0" w:color="EEECE9" w:themeColor="accent6" w:themeTint="99"/>
        </w:tcBorders>
      </w:tcPr>
    </w:tblStylePr>
    <w:tblStylePr w:type="firstCol">
      <w:rPr>
        <w:b/>
        <w:bCs/>
      </w:rPr>
    </w:tblStylePr>
    <w:tblStylePr w:type="lastCol">
      <w:rPr>
        <w:b/>
        <w:bCs/>
      </w:rPr>
    </w:tblStylePr>
  </w:style>
  <w:style w:type="table" w:styleId="GridTable3-Accent3">
    <w:name w:val="Grid Table 3 Accent 3"/>
    <w:basedOn w:val="TableNormal"/>
    <w:uiPriority w:val="48"/>
    <w:rsid w:val="00A350E1"/>
    <w:pPr>
      <w:spacing w:after="0" w:line="240" w:lineRule="auto"/>
    </w:pPr>
    <w:rPr>
      <w:sz w:val="18"/>
    </w:rPr>
    <w:tblPr>
      <w:tblStyleRowBandSize w:val="1"/>
      <w:tblStyleColBandSize w:val="1"/>
      <w:tblBorders>
        <w:top w:val="single" w:sz="4" w:space="0" w:color="DDC9FF" w:themeColor="accent3" w:themeTint="99"/>
        <w:left w:val="single" w:sz="4" w:space="0" w:color="DDC9FF" w:themeColor="accent3" w:themeTint="99"/>
        <w:bottom w:val="single" w:sz="4" w:space="0" w:color="DDC9FF" w:themeColor="accent3" w:themeTint="99"/>
        <w:right w:val="single" w:sz="4" w:space="0" w:color="DDC9FF" w:themeColor="accent3" w:themeTint="99"/>
        <w:insideH w:val="single" w:sz="4" w:space="0" w:color="DDC9FF" w:themeColor="accent3" w:themeTint="99"/>
        <w:insideV w:val="single" w:sz="4" w:space="0" w:color="DDC9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EDFF" w:themeFill="accent3" w:themeFillTint="33"/>
      </w:tcPr>
    </w:tblStylePr>
    <w:tblStylePr w:type="band1Horz">
      <w:tblPr/>
      <w:tcPr>
        <w:shd w:val="clear" w:color="auto" w:fill="F3EDFF" w:themeFill="accent3" w:themeFillTint="33"/>
      </w:tcPr>
    </w:tblStylePr>
    <w:tblStylePr w:type="neCell">
      <w:tblPr/>
      <w:tcPr>
        <w:tcBorders>
          <w:bottom w:val="single" w:sz="4" w:space="0" w:color="DDC9FF" w:themeColor="accent3" w:themeTint="99"/>
        </w:tcBorders>
      </w:tcPr>
    </w:tblStylePr>
    <w:tblStylePr w:type="nwCell">
      <w:tblPr/>
      <w:tcPr>
        <w:tcBorders>
          <w:bottom w:val="single" w:sz="4" w:space="0" w:color="DDC9FF" w:themeColor="accent3" w:themeTint="99"/>
        </w:tcBorders>
      </w:tcPr>
    </w:tblStylePr>
    <w:tblStylePr w:type="seCell">
      <w:tblPr/>
      <w:tcPr>
        <w:tcBorders>
          <w:top w:val="single" w:sz="4" w:space="0" w:color="DDC9FF" w:themeColor="accent3" w:themeTint="99"/>
        </w:tcBorders>
      </w:tcPr>
    </w:tblStylePr>
    <w:tblStylePr w:type="swCell">
      <w:tblPr/>
      <w:tcPr>
        <w:tcBorders>
          <w:top w:val="single" w:sz="4" w:space="0" w:color="DDC9FF" w:themeColor="accent3" w:themeTint="99"/>
        </w:tcBorders>
      </w:tcPr>
    </w:tblStylePr>
  </w:style>
  <w:style w:type="table" w:styleId="GridTable3-Accent5">
    <w:name w:val="Grid Table 3 Accent 5"/>
    <w:basedOn w:val="TableNormal"/>
    <w:uiPriority w:val="48"/>
    <w:rsid w:val="00673420"/>
    <w:pPr>
      <w:spacing w:after="0" w:line="240" w:lineRule="auto"/>
    </w:pPr>
    <w:rPr>
      <w:sz w:val="18"/>
    </w:rPr>
    <w:tblPr>
      <w:tblStyleRowBandSize w:val="1"/>
      <w:tblStyleColBandSize w:val="1"/>
      <w:tblBorders>
        <w:top w:val="single" w:sz="4" w:space="0" w:color="B7AFAD" w:themeColor="accent5" w:themeTint="99"/>
        <w:left w:val="single" w:sz="4" w:space="0" w:color="B7AFAD" w:themeColor="accent5" w:themeTint="99"/>
        <w:bottom w:val="single" w:sz="4" w:space="0" w:color="B7AFAD" w:themeColor="accent5" w:themeTint="99"/>
        <w:right w:val="single" w:sz="4" w:space="0" w:color="B7AFAD" w:themeColor="accent5" w:themeTint="99"/>
        <w:insideH w:val="single" w:sz="4" w:space="0" w:color="B7AFAD" w:themeColor="accent5" w:themeTint="99"/>
        <w:insideV w:val="single" w:sz="4" w:space="0" w:color="B7AFA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E4E3" w:themeFill="accent5" w:themeFillTint="33"/>
      </w:tcPr>
    </w:tblStylePr>
    <w:tblStylePr w:type="band1Horz">
      <w:tblPr/>
      <w:tcPr>
        <w:shd w:val="clear" w:color="auto" w:fill="E7E4E3" w:themeFill="accent5" w:themeFillTint="33"/>
      </w:tcPr>
    </w:tblStylePr>
    <w:tblStylePr w:type="neCell">
      <w:tblPr/>
      <w:tcPr>
        <w:tcBorders>
          <w:bottom w:val="single" w:sz="4" w:space="0" w:color="B7AFAD" w:themeColor="accent5" w:themeTint="99"/>
        </w:tcBorders>
      </w:tcPr>
    </w:tblStylePr>
    <w:tblStylePr w:type="nwCell">
      <w:tblPr/>
      <w:tcPr>
        <w:tcBorders>
          <w:bottom w:val="single" w:sz="4" w:space="0" w:color="B7AFAD" w:themeColor="accent5" w:themeTint="99"/>
        </w:tcBorders>
      </w:tcPr>
    </w:tblStylePr>
    <w:tblStylePr w:type="seCell">
      <w:tblPr/>
      <w:tcPr>
        <w:tcBorders>
          <w:top w:val="single" w:sz="4" w:space="0" w:color="B7AFAD" w:themeColor="accent5" w:themeTint="99"/>
        </w:tcBorders>
      </w:tcPr>
    </w:tblStylePr>
    <w:tblStylePr w:type="swCell">
      <w:tblPr/>
      <w:tcPr>
        <w:tcBorders>
          <w:top w:val="single" w:sz="4" w:space="0" w:color="B7AFAD" w:themeColor="accent5" w:themeTint="99"/>
        </w:tcBorders>
      </w:tcPr>
    </w:tblStylePr>
  </w:style>
  <w:style w:type="table" w:styleId="GridTable3-Accent4">
    <w:name w:val="Grid Table 3 Accent 4"/>
    <w:basedOn w:val="TableNormal"/>
    <w:uiPriority w:val="48"/>
    <w:rsid w:val="00A350E1"/>
    <w:pPr>
      <w:spacing w:after="0" w:line="240" w:lineRule="auto"/>
    </w:pPr>
    <w:rPr>
      <w:sz w:val="18"/>
    </w:rPr>
    <w:tblPr>
      <w:tblStyleRowBandSize w:val="1"/>
      <w:tblStyleColBandSize w:val="1"/>
      <w:tblBorders>
        <w:top w:val="single" w:sz="4" w:space="0" w:color="DDB5A9" w:themeColor="accent4" w:themeTint="99"/>
        <w:left w:val="single" w:sz="4" w:space="0" w:color="DDB5A9" w:themeColor="accent4" w:themeTint="99"/>
        <w:bottom w:val="single" w:sz="4" w:space="0" w:color="DDB5A9" w:themeColor="accent4" w:themeTint="99"/>
        <w:right w:val="single" w:sz="4" w:space="0" w:color="DDB5A9" w:themeColor="accent4" w:themeTint="99"/>
        <w:insideH w:val="single" w:sz="4" w:space="0" w:color="DDB5A9" w:themeColor="accent4" w:themeTint="99"/>
        <w:insideV w:val="single" w:sz="4" w:space="0" w:color="DDB5A9"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E6E2" w:themeFill="accent4" w:themeFillTint="33"/>
      </w:tcPr>
    </w:tblStylePr>
    <w:tblStylePr w:type="band1Horz">
      <w:tblPr/>
      <w:tcPr>
        <w:shd w:val="clear" w:color="auto" w:fill="F3E6E2" w:themeFill="accent4" w:themeFillTint="33"/>
      </w:tcPr>
    </w:tblStylePr>
    <w:tblStylePr w:type="neCell">
      <w:tblPr/>
      <w:tcPr>
        <w:tcBorders>
          <w:bottom w:val="single" w:sz="4" w:space="0" w:color="DDB5A9" w:themeColor="accent4" w:themeTint="99"/>
        </w:tcBorders>
      </w:tcPr>
    </w:tblStylePr>
    <w:tblStylePr w:type="nwCell">
      <w:tblPr/>
      <w:tcPr>
        <w:tcBorders>
          <w:bottom w:val="single" w:sz="4" w:space="0" w:color="DDB5A9" w:themeColor="accent4" w:themeTint="99"/>
        </w:tcBorders>
      </w:tcPr>
    </w:tblStylePr>
    <w:tblStylePr w:type="seCell">
      <w:tblPr/>
      <w:tcPr>
        <w:tcBorders>
          <w:top w:val="single" w:sz="4" w:space="0" w:color="DDB5A9" w:themeColor="accent4" w:themeTint="99"/>
        </w:tcBorders>
      </w:tcPr>
    </w:tblStylePr>
    <w:tblStylePr w:type="swCell">
      <w:tblPr/>
      <w:tcPr>
        <w:tcBorders>
          <w:top w:val="single" w:sz="4" w:space="0" w:color="DDB5A9" w:themeColor="accent4" w:themeTint="99"/>
        </w:tcBorders>
      </w:tcPr>
    </w:tblStylePr>
  </w:style>
  <w:style w:type="table" w:styleId="GridTable4-Accent5">
    <w:name w:val="Grid Table 4 Accent 5"/>
    <w:basedOn w:val="TableNormal"/>
    <w:uiPriority w:val="49"/>
    <w:rsid w:val="00745914"/>
    <w:pPr>
      <w:spacing w:after="0" w:line="240" w:lineRule="auto"/>
    </w:pPr>
    <w:rPr>
      <w:sz w:val="18"/>
    </w:rPr>
    <w:tblPr>
      <w:tblStyleRowBandSize w:val="1"/>
      <w:tblStyleColBandSize w:val="1"/>
      <w:tblBorders>
        <w:top w:val="single" w:sz="4" w:space="0" w:color="B7AFAD" w:themeColor="accent5" w:themeTint="99"/>
        <w:left w:val="single" w:sz="4" w:space="0" w:color="B7AFAD" w:themeColor="accent5" w:themeTint="99"/>
        <w:bottom w:val="single" w:sz="4" w:space="0" w:color="B7AFAD" w:themeColor="accent5" w:themeTint="99"/>
        <w:right w:val="single" w:sz="4" w:space="0" w:color="B7AFAD" w:themeColor="accent5" w:themeTint="99"/>
        <w:insideH w:val="single" w:sz="4" w:space="0" w:color="B7AFAD" w:themeColor="accent5" w:themeTint="99"/>
        <w:insideV w:val="single" w:sz="4" w:space="0" w:color="B7AFAD" w:themeColor="accent5" w:themeTint="99"/>
      </w:tblBorders>
    </w:tblPr>
    <w:tblStylePr w:type="firstRow">
      <w:rPr>
        <w:b/>
        <w:bCs/>
        <w:color w:val="FFFFFF" w:themeColor="background1"/>
      </w:rPr>
      <w:tblPr/>
      <w:tcPr>
        <w:tcBorders>
          <w:top w:val="single" w:sz="4" w:space="0" w:color="877B77" w:themeColor="accent5"/>
          <w:left w:val="single" w:sz="4" w:space="0" w:color="877B77" w:themeColor="accent5"/>
          <w:bottom w:val="single" w:sz="4" w:space="0" w:color="877B77" w:themeColor="accent5"/>
          <w:right w:val="single" w:sz="4" w:space="0" w:color="877B77" w:themeColor="accent5"/>
          <w:insideH w:val="nil"/>
          <w:insideV w:val="nil"/>
        </w:tcBorders>
        <w:shd w:val="clear" w:color="auto" w:fill="877B77" w:themeFill="accent5"/>
      </w:tcPr>
    </w:tblStylePr>
    <w:tblStylePr w:type="lastRow">
      <w:rPr>
        <w:b/>
        <w:bCs/>
      </w:rPr>
      <w:tblPr/>
      <w:tcPr>
        <w:tcBorders>
          <w:top w:val="double" w:sz="4" w:space="0" w:color="877B77" w:themeColor="accent5"/>
        </w:tcBorders>
      </w:tcPr>
    </w:tblStylePr>
    <w:tblStylePr w:type="firstCol">
      <w:rPr>
        <w:b/>
        <w:bCs/>
      </w:rPr>
    </w:tblStylePr>
    <w:tblStylePr w:type="lastCol">
      <w:rPr>
        <w:b/>
        <w:bCs/>
      </w:rPr>
    </w:tblStylePr>
    <w:tblStylePr w:type="band1Vert">
      <w:tblPr/>
      <w:tcPr>
        <w:shd w:val="clear" w:color="auto" w:fill="E7E4E3" w:themeFill="accent5" w:themeFillTint="33"/>
      </w:tcPr>
    </w:tblStylePr>
    <w:tblStylePr w:type="band1Horz">
      <w:tblPr/>
      <w:tcPr>
        <w:shd w:val="clear" w:color="auto" w:fill="E7E4E3" w:themeFill="accent5" w:themeFillTint="33"/>
      </w:tcPr>
    </w:tblStylePr>
  </w:style>
  <w:style w:type="table" w:styleId="GridTable5Dark-Accent4">
    <w:name w:val="Grid Table 5 Dark Accent 4"/>
    <w:basedOn w:val="TableNormal"/>
    <w:uiPriority w:val="50"/>
    <w:rsid w:val="00745914"/>
    <w:pPr>
      <w:spacing w:after="0" w:line="240" w:lineRule="auto"/>
    </w:pPr>
    <w:rPr>
      <w:sz w:val="18"/>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E6E2"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7857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7857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7857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78570" w:themeFill="accent4"/>
      </w:tcPr>
    </w:tblStylePr>
    <w:tblStylePr w:type="band1Vert">
      <w:tblPr/>
      <w:tcPr>
        <w:shd w:val="clear" w:color="auto" w:fill="E8CEC5" w:themeFill="accent4" w:themeFillTint="66"/>
      </w:tcPr>
    </w:tblStylePr>
    <w:tblStylePr w:type="band1Horz">
      <w:tblPr/>
      <w:tcPr>
        <w:shd w:val="clear" w:color="auto" w:fill="E8CEC5" w:themeFill="accent4" w:themeFillTint="66"/>
      </w:tcPr>
    </w:tblStylePr>
  </w:style>
  <w:style w:type="table" w:styleId="ListTable4-Accent4">
    <w:name w:val="List Table 4 Accent 4"/>
    <w:basedOn w:val="TableNormal"/>
    <w:uiPriority w:val="49"/>
    <w:rsid w:val="00B66C99"/>
    <w:pPr>
      <w:spacing w:after="0" w:line="240" w:lineRule="auto"/>
    </w:pPr>
    <w:rPr>
      <w:sz w:val="18"/>
    </w:rPr>
    <w:tblPr>
      <w:tblStyleRowBandSize w:val="1"/>
      <w:tblStyleColBandSize w:val="1"/>
      <w:tblBorders>
        <w:top w:val="single" w:sz="4" w:space="0" w:color="DDB5A9" w:themeColor="accent4" w:themeTint="99"/>
        <w:left w:val="single" w:sz="4" w:space="0" w:color="DDB5A9" w:themeColor="accent4" w:themeTint="99"/>
        <w:bottom w:val="single" w:sz="4" w:space="0" w:color="DDB5A9" w:themeColor="accent4" w:themeTint="99"/>
        <w:right w:val="single" w:sz="4" w:space="0" w:color="DDB5A9" w:themeColor="accent4" w:themeTint="99"/>
        <w:insideH w:val="single" w:sz="4" w:space="0" w:color="DDB5A9" w:themeColor="accent4" w:themeTint="99"/>
      </w:tblBorders>
    </w:tblPr>
    <w:tblStylePr w:type="firstRow">
      <w:rPr>
        <w:b/>
        <w:bCs/>
        <w:color w:val="FFFFFF" w:themeColor="background1"/>
      </w:rPr>
      <w:tblPr/>
      <w:tcPr>
        <w:tcBorders>
          <w:top w:val="single" w:sz="4" w:space="0" w:color="C78570" w:themeColor="accent4"/>
          <w:left w:val="single" w:sz="4" w:space="0" w:color="C78570" w:themeColor="accent4"/>
          <w:bottom w:val="single" w:sz="4" w:space="0" w:color="C78570" w:themeColor="accent4"/>
          <w:right w:val="single" w:sz="4" w:space="0" w:color="C78570" w:themeColor="accent4"/>
          <w:insideH w:val="nil"/>
        </w:tcBorders>
        <w:shd w:val="clear" w:color="auto" w:fill="C78570" w:themeFill="accent4"/>
      </w:tcPr>
    </w:tblStylePr>
    <w:tblStylePr w:type="lastRow">
      <w:rPr>
        <w:b/>
        <w:bCs/>
      </w:rPr>
      <w:tblPr/>
      <w:tcPr>
        <w:tcBorders>
          <w:top w:val="double" w:sz="4" w:space="0" w:color="DDB5A9" w:themeColor="accent4" w:themeTint="99"/>
        </w:tcBorders>
      </w:tcPr>
    </w:tblStylePr>
    <w:tblStylePr w:type="firstCol">
      <w:rPr>
        <w:b/>
        <w:bCs/>
      </w:rPr>
    </w:tblStylePr>
    <w:tblStylePr w:type="lastCol">
      <w:rPr>
        <w:b/>
        <w:bCs/>
      </w:rPr>
    </w:tblStylePr>
    <w:tblStylePr w:type="band1Vert">
      <w:tblPr/>
      <w:tcPr>
        <w:shd w:val="clear" w:color="auto" w:fill="F3E6E2" w:themeFill="accent4" w:themeFillTint="33"/>
      </w:tcPr>
    </w:tblStylePr>
    <w:tblStylePr w:type="band1Horz">
      <w:tblPr/>
      <w:tcPr>
        <w:shd w:val="clear" w:color="auto" w:fill="F3E6E2" w:themeFill="accent4" w:themeFillTint="33"/>
      </w:tcPr>
    </w:tblStylePr>
  </w:style>
  <w:style w:type="table" w:styleId="ListTable7ColourfulAccent3">
    <w:name w:val="List Table 7 Colorful Accent 3"/>
    <w:basedOn w:val="TableNormal"/>
    <w:uiPriority w:val="52"/>
    <w:rsid w:val="00B66C99"/>
    <w:pPr>
      <w:spacing w:after="0" w:line="240" w:lineRule="auto"/>
    </w:pPr>
    <w:rPr>
      <w:color w:val="843BFF" w:themeColor="accent3" w:themeShade="BF"/>
      <w:sz w:val="18"/>
    </w:rPr>
    <w:tblPr>
      <w:tblStyleRowBandSize w:val="1"/>
      <w:tblStyleColBandSize w:val="1"/>
    </w:tblPr>
    <w:tblStylePr w:type="firstRow">
      <w:rPr>
        <w:rFonts w:asciiTheme="majorHAnsi" w:eastAsiaTheme="majorEastAsia" w:hAnsiTheme="majorHAnsi" w:cstheme="majorBidi"/>
        <w:i/>
        <w:iCs/>
        <w:sz w:val="18"/>
      </w:rPr>
      <w:tblPr/>
      <w:tcPr>
        <w:tcBorders>
          <w:bottom w:val="single" w:sz="4" w:space="0" w:color="C7A5FF" w:themeColor="accent3"/>
        </w:tcBorders>
        <w:shd w:val="clear" w:color="auto" w:fill="FFFFFF" w:themeFill="background1"/>
      </w:tcPr>
    </w:tblStylePr>
    <w:tblStylePr w:type="lastRow">
      <w:rPr>
        <w:rFonts w:asciiTheme="majorHAnsi" w:eastAsiaTheme="majorEastAsia" w:hAnsiTheme="majorHAnsi" w:cstheme="majorBidi"/>
        <w:i/>
        <w:iCs/>
        <w:sz w:val="18"/>
      </w:rPr>
      <w:tblPr/>
      <w:tcPr>
        <w:tcBorders>
          <w:top w:val="single" w:sz="4" w:space="0" w:color="C7A5FF" w:themeColor="accent3"/>
        </w:tcBorders>
        <w:shd w:val="clear" w:color="auto" w:fill="FFFFFF" w:themeFill="background1"/>
      </w:tcPr>
    </w:tblStylePr>
    <w:tblStylePr w:type="firstCol">
      <w:pPr>
        <w:jc w:val="right"/>
      </w:pPr>
      <w:rPr>
        <w:rFonts w:asciiTheme="majorHAnsi" w:eastAsiaTheme="majorEastAsia" w:hAnsiTheme="majorHAnsi" w:cstheme="majorBidi"/>
        <w:i/>
        <w:iCs/>
        <w:sz w:val="18"/>
      </w:rPr>
      <w:tblPr/>
      <w:tcPr>
        <w:tcBorders>
          <w:right w:val="single" w:sz="4" w:space="0" w:color="C7A5FF" w:themeColor="accent3"/>
        </w:tcBorders>
        <w:shd w:val="clear" w:color="auto" w:fill="FFFFFF" w:themeFill="background1"/>
      </w:tcPr>
    </w:tblStylePr>
    <w:tblStylePr w:type="lastCol">
      <w:rPr>
        <w:rFonts w:asciiTheme="majorHAnsi" w:eastAsiaTheme="majorEastAsia" w:hAnsiTheme="majorHAnsi" w:cstheme="majorBidi"/>
        <w:i/>
        <w:iCs/>
        <w:sz w:val="18"/>
      </w:rPr>
      <w:tblPr/>
      <w:tcPr>
        <w:tcBorders>
          <w:left w:val="single" w:sz="4" w:space="0" w:color="C7A5FF" w:themeColor="accent3"/>
        </w:tcBorders>
        <w:shd w:val="clear" w:color="auto" w:fill="FFFFFF" w:themeFill="background1"/>
      </w:tcPr>
    </w:tblStylePr>
    <w:tblStylePr w:type="band1Vert">
      <w:tblPr/>
      <w:tcPr>
        <w:shd w:val="clear" w:color="auto" w:fill="F3EDFF" w:themeFill="accent3" w:themeFillTint="33"/>
      </w:tcPr>
    </w:tblStylePr>
    <w:tblStylePr w:type="band1Horz">
      <w:tblPr/>
      <w:tcPr>
        <w:shd w:val="clear" w:color="auto" w:fill="F3ED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B66C99"/>
    <w:pPr>
      <w:spacing w:after="0" w:line="240" w:lineRule="auto"/>
    </w:pPr>
    <w:rPr>
      <w:color w:val="221334" w:themeColor="accent2" w:themeShade="BF"/>
      <w:sz w:val="18"/>
    </w:rPr>
    <w:tblPr>
      <w:tblStyleRowBandSize w:val="1"/>
      <w:tblStyleColBandSize w:val="1"/>
    </w:tblPr>
    <w:tblStylePr w:type="firstRow">
      <w:rPr>
        <w:rFonts w:asciiTheme="majorHAnsi" w:eastAsiaTheme="majorEastAsia" w:hAnsiTheme="majorHAnsi" w:cstheme="majorBidi"/>
        <w:i/>
        <w:iCs/>
        <w:sz w:val="18"/>
      </w:rPr>
      <w:tblPr/>
      <w:tcPr>
        <w:tcBorders>
          <w:bottom w:val="single" w:sz="4" w:space="0" w:color="2E1A47" w:themeColor="accent2"/>
        </w:tcBorders>
        <w:shd w:val="clear" w:color="auto" w:fill="FFFFFF" w:themeFill="background1"/>
      </w:tcPr>
    </w:tblStylePr>
    <w:tblStylePr w:type="lastRow">
      <w:rPr>
        <w:rFonts w:asciiTheme="majorHAnsi" w:eastAsiaTheme="majorEastAsia" w:hAnsiTheme="majorHAnsi" w:cstheme="majorBidi"/>
        <w:i/>
        <w:iCs/>
        <w:sz w:val="18"/>
      </w:rPr>
      <w:tblPr/>
      <w:tcPr>
        <w:tcBorders>
          <w:top w:val="single" w:sz="4" w:space="0" w:color="2E1A47" w:themeColor="accent2"/>
        </w:tcBorders>
        <w:shd w:val="clear" w:color="auto" w:fill="FFFFFF" w:themeFill="background1"/>
      </w:tcPr>
    </w:tblStylePr>
    <w:tblStylePr w:type="firstCol">
      <w:pPr>
        <w:jc w:val="right"/>
      </w:pPr>
      <w:rPr>
        <w:rFonts w:asciiTheme="majorHAnsi" w:eastAsiaTheme="majorEastAsia" w:hAnsiTheme="majorHAnsi" w:cstheme="majorBidi"/>
        <w:i/>
        <w:iCs/>
        <w:sz w:val="18"/>
      </w:rPr>
      <w:tblPr/>
      <w:tcPr>
        <w:tcBorders>
          <w:right w:val="single" w:sz="4" w:space="0" w:color="2E1A47" w:themeColor="accent2"/>
        </w:tcBorders>
        <w:shd w:val="clear" w:color="auto" w:fill="FFFFFF" w:themeFill="background1"/>
      </w:tcPr>
    </w:tblStylePr>
    <w:tblStylePr w:type="lastCol">
      <w:rPr>
        <w:rFonts w:asciiTheme="majorHAnsi" w:eastAsiaTheme="majorEastAsia" w:hAnsiTheme="majorHAnsi" w:cstheme="majorBidi"/>
        <w:i/>
        <w:iCs/>
        <w:sz w:val="18"/>
      </w:rPr>
      <w:tblPr/>
      <w:tcPr>
        <w:tcBorders>
          <w:left w:val="single" w:sz="4" w:space="0" w:color="2E1A47" w:themeColor="accent2"/>
        </w:tcBorders>
        <w:shd w:val="clear" w:color="auto" w:fill="FFFFFF" w:themeFill="background1"/>
      </w:tcPr>
    </w:tblStylePr>
    <w:tblStylePr w:type="band1Vert">
      <w:tblPr/>
      <w:tcPr>
        <w:shd w:val="clear" w:color="auto" w:fill="D3C2E8" w:themeFill="accent2" w:themeFillTint="33"/>
      </w:tcPr>
    </w:tblStylePr>
    <w:tblStylePr w:type="band1Horz">
      <w:tblPr/>
      <w:tcPr>
        <w:shd w:val="clear" w:color="auto" w:fill="D3C2E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B66C99"/>
    <w:pPr>
      <w:spacing w:after="0" w:line="240" w:lineRule="auto"/>
    </w:pPr>
    <w:rPr>
      <w:color w:val="5B3161" w:themeColor="accent1" w:themeShade="BF"/>
      <w:sz w:val="18"/>
    </w:rPr>
    <w:tblPr>
      <w:tblStyleRowBandSize w:val="1"/>
      <w:tblStyleColBandSize w:val="1"/>
    </w:tblPr>
    <w:tblStylePr w:type="firstRow">
      <w:rPr>
        <w:rFonts w:asciiTheme="majorHAnsi" w:eastAsiaTheme="majorEastAsia" w:hAnsiTheme="majorHAnsi" w:cstheme="majorBidi"/>
        <w:i/>
        <w:iCs/>
        <w:sz w:val="18"/>
      </w:rPr>
      <w:tblPr/>
      <w:tcPr>
        <w:tcBorders>
          <w:bottom w:val="single" w:sz="4" w:space="0" w:color="7A4282" w:themeColor="accent1"/>
        </w:tcBorders>
        <w:shd w:val="clear" w:color="auto" w:fill="FFFFFF" w:themeFill="background1"/>
      </w:tcPr>
    </w:tblStylePr>
    <w:tblStylePr w:type="lastRow">
      <w:rPr>
        <w:rFonts w:asciiTheme="majorHAnsi" w:eastAsiaTheme="majorEastAsia" w:hAnsiTheme="majorHAnsi" w:cstheme="majorBidi"/>
        <w:i/>
        <w:iCs/>
        <w:sz w:val="18"/>
      </w:rPr>
      <w:tblPr/>
      <w:tcPr>
        <w:tcBorders>
          <w:top w:val="single" w:sz="4" w:space="0" w:color="7A42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18"/>
      </w:rPr>
      <w:tblPr/>
      <w:tcPr>
        <w:tcBorders>
          <w:right w:val="single" w:sz="4" w:space="0" w:color="7A4282" w:themeColor="accent1"/>
        </w:tcBorders>
        <w:shd w:val="clear" w:color="auto" w:fill="FFFFFF" w:themeFill="background1"/>
      </w:tcPr>
    </w:tblStylePr>
    <w:tblStylePr w:type="lastCol">
      <w:rPr>
        <w:rFonts w:asciiTheme="majorHAnsi" w:eastAsiaTheme="majorEastAsia" w:hAnsiTheme="majorHAnsi" w:cstheme="majorBidi"/>
        <w:i/>
        <w:iCs/>
        <w:sz w:val="18"/>
      </w:rPr>
      <w:tblPr/>
      <w:tcPr>
        <w:tcBorders>
          <w:left w:val="single" w:sz="4" w:space="0" w:color="7A4282" w:themeColor="accent1"/>
        </w:tcBorders>
        <w:shd w:val="clear" w:color="auto" w:fill="FFFFFF" w:themeFill="background1"/>
      </w:tcPr>
    </w:tblStylePr>
    <w:tblStylePr w:type="band1Vert">
      <w:tblPr/>
      <w:tcPr>
        <w:shd w:val="clear" w:color="auto" w:fill="E7D5E9" w:themeFill="accent1" w:themeFillTint="33"/>
      </w:tcPr>
    </w:tblStylePr>
    <w:tblStylePr w:type="band1Horz">
      <w:tblPr/>
      <w:tcPr>
        <w:shd w:val="clear" w:color="auto" w:fill="E7D5E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
    <w:name w:val="List Table 7 Colorful"/>
    <w:basedOn w:val="TableNormal"/>
    <w:uiPriority w:val="52"/>
    <w:rsid w:val="00B66C99"/>
    <w:pPr>
      <w:spacing w:after="0" w:line="240" w:lineRule="auto"/>
    </w:pPr>
    <w:rPr>
      <w:color w:val="000000" w:themeColor="text1"/>
      <w:sz w:val="18"/>
    </w:rPr>
    <w:tblPr>
      <w:tblStyleRowBandSize w:val="1"/>
      <w:tblStyleColBandSize w:val="1"/>
    </w:tblPr>
    <w:tblStylePr w:type="firstRow">
      <w:rPr>
        <w:rFonts w:asciiTheme="majorHAnsi" w:eastAsiaTheme="majorEastAsia" w:hAnsiTheme="majorHAnsi" w:cstheme="majorBidi"/>
        <w:i/>
        <w:iCs/>
        <w:sz w:val="18"/>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18"/>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18"/>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18"/>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5Dark-Accent5">
    <w:name w:val="List Table 5 Dark Accent 5"/>
    <w:basedOn w:val="TableNormal"/>
    <w:uiPriority w:val="50"/>
    <w:rsid w:val="00B66C99"/>
    <w:pPr>
      <w:spacing w:after="0" w:line="240" w:lineRule="auto"/>
    </w:pPr>
    <w:rPr>
      <w:color w:val="FFFFFF" w:themeColor="background1"/>
      <w:sz w:val="18"/>
    </w:rPr>
    <w:tblPr>
      <w:tblStyleRowBandSize w:val="1"/>
      <w:tblStyleColBandSize w:val="1"/>
      <w:tblBorders>
        <w:top w:val="single" w:sz="24" w:space="0" w:color="877B77" w:themeColor="accent5"/>
        <w:left w:val="single" w:sz="24" w:space="0" w:color="877B77" w:themeColor="accent5"/>
        <w:bottom w:val="single" w:sz="24" w:space="0" w:color="877B77" w:themeColor="accent5"/>
        <w:right w:val="single" w:sz="24" w:space="0" w:color="877B77" w:themeColor="accent5"/>
      </w:tblBorders>
    </w:tblPr>
    <w:tcPr>
      <w:shd w:val="clear" w:color="auto" w:fill="877B77"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66C99"/>
    <w:pPr>
      <w:spacing w:after="0" w:line="240" w:lineRule="auto"/>
    </w:pPr>
    <w:rPr>
      <w:color w:val="FFFFFF" w:themeColor="background1"/>
      <w:sz w:val="18"/>
    </w:rPr>
    <w:tblPr>
      <w:tblStyleRowBandSize w:val="1"/>
      <w:tblStyleColBandSize w:val="1"/>
      <w:tblBorders>
        <w:top w:val="single" w:sz="24" w:space="0" w:color="C78570" w:themeColor="accent4"/>
        <w:left w:val="single" w:sz="24" w:space="0" w:color="C78570" w:themeColor="accent4"/>
        <w:bottom w:val="single" w:sz="24" w:space="0" w:color="C78570" w:themeColor="accent4"/>
        <w:right w:val="single" w:sz="24" w:space="0" w:color="C78570" w:themeColor="accent4"/>
      </w:tblBorders>
    </w:tblPr>
    <w:tcPr>
      <w:shd w:val="clear" w:color="auto" w:fill="C7857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66C99"/>
    <w:pPr>
      <w:spacing w:after="0" w:line="240" w:lineRule="auto"/>
    </w:pPr>
    <w:rPr>
      <w:color w:val="FFFFFF" w:themeColor="background1"/>
      <w:sz w:val="18"/>
    </w:rPr>
    <w:tblPr>
      <w:tblStyleRowBandSize w:val="1"/>
      <w:tblStyleColBandSize w:val="1"/>
      <w:tblBorders>
        <w:top w:val="single" w:sz="24" w:space="0" w:color="C7A5FF" w:themeColor="accent3"/>
        <w:left w:val="single" w:sz="24" w:space="0" w:color="C7A5FF" w:themeColor="accent3"/>
        <w:bottom w:val="single" w:sz="24" w:space="0" w:color="C7A5FF" w:themeColor="accent3"/>
        <w:right w:val="single" w:sz="24" w:space="0" w:color="C7A5FF" w:themeColor="accent3"/>
      </w:tblBorders>
    </w:tblPr>
    <w:tcPr>
      <w:shd w:val="clear" w:color="auto" w:fill="C7A5F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66C99"/>
    <w:pPr>
      <w:spacing w:after="0" w:line="240" w:lineRule="auto"/>
    </w:pPr>
    <w:rPr>
      <w:color w:val="FFFFFF" w:themeColor="background1"/>
      <w:sz w:val="18"/>
    </w:rPr>
    <w:tblPr>
      <w:tblStyleRowBandSize w:val="1"/>
      <w:tblStyleColBandSize w:val="1"/>
      <w:tblBorders>
        <w:top w:val="single" w:sz="24" w:space="0" w:color="2E1A47" w:themeColor="accent2"/>
        <w:left w:val="single" w:sz="24" w:space="0" w:color="2E1A47" w:themeColor="accent2"/>
        <w:bottom w:val="single" w:sz="24" w:space="0" w:color="2E1A47" w:themeColor="accent2"/>
        <w:right w:val="single" w:sz="24" w:space="0" w:color="2E1A47" w:themeColor="accent2"/>
      </w:tblBorders>
    </w:tblPr>
    <w:tcPr>
      <w:shd w:val="clear" w:color="auto" w:fill="2E1A4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66C99"/>
    <w:pPr>
      <w:spacing w:after="0" w:line="240" w:lineRule="auto"/>
    </w:pPr>
    <w:rPr>
      <w:color w:val="FFFFFF" w:themeColor="background1"/>
      <w:sz w:val="18"/>
    </w:rPr>
    <w:tblPr>
      <w:tblStyleRowBandSize w:val="1"/>
      <w:tblStyleColBandSize w:val="1"/>
      <w:tblBorders>
        <w:top w:val="single" w:sz="24" w:space="0" w:color="7A4282" w:themeColor="accent1"/>
        <w:left w:val="single" w:sz="24" w:space="0" w:color="7A4282" w:themeColor="accent1"/>
        <w:bottom w:val="single" w:sz="24" w:space="0" w:color="7A4282" w:themeColor="accent1"/>
        <w:right w:val="single" w:sz="24" w:space="0" w:color="7A4282" w:themeColor="accent1"/>
      </w:tblBorders>
    </w:tblPr>
    <w:tcPr>
      <w:shd w:val="clear" w:color="auto" w:fill="7A42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
    <w:name w:val="List Table 5 Dark"/>
    <w:basedOn w:val="TableNormal"/>
    <w:uiPriority w:val="50"/>
    <w:rsid w:val="00B66C99"/>
    <w:pPr>
      <w:spacing w:after="0" w:line="240" w:lineRule="auto"/>
    </w:pPr>
    <w:rPr>
      <w:color w:val="FFFFFF" w:themeColor="background1"/>
      <w:sz w:val="18"/>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4-Accent5">
    <w:name w:val="List Table 4 Accent 5"/>
    <w:basedOn w:val="TableNormal"/>
    <w:uiPriority w:val="49"/>
    <w:rsid w:val="00B66C99"/>
    <w:pPr>
      <w:spacing w:after="0" w:line="240" w:lineRule="auto"/>
    </w:pPr>
    <w:rPr>
      <w:sz w:val="18"/>
    </w:rPr>
    <w:tblPr>
      <w:tblStyleRowBandSize w:val="1"/>
      <w:tblStyleColBandSize w:val="1"/>
      <w:tblBorders>
        <w:top w:val="single" w:sz="4" w:space="0" w:color="B7AFAD" w:themeColor="accent5" w:themeTint="99"/>
        <w:left w:val="single" w:sz="4" w:space="0" w:color="B7AFAD" w:themeColor="accent5" w:themeTint="99"/>
        <w:bottom w:val="single" w:sz="4" w:space="0" w:color="B7AFAD" w:themeColor="accent5" w:themeTint="99"/>
        <w:right w:val="single" w:sz="4" w:space="0" w:color="B7AFAD" w:themeColor="accent5" w:themeTint="99"/>
        <w:insideH w:val="single" w:sz="4" w:space="0" w:color="B7AFAD" w:themeColor="accent5" w:themeTint="99"/>
      </w:tblBorders>
    </w:tblPr>
    <w:tblStylePr w:type="firstRow">
      <w:rPr>
        <w:b/>
        <w:bCs/>
        <w:color w:val="FFFFFF" w:themeColor="background1"/>
      </w:rPr>
      <w:tblPr/>
      <w:tcPr>
        <w:tcBorders>
          <w:top w:val="single" w:sz="4" w:space="0" w:color="877B77" w:themeColor="accent5"/>
          <w:left w:val="single" w:sz="4" w:space="0" w:color="877B77" w:themeColor="accent5"/>
          <w:bottom w:val="single" w:sz="4" w:space="0" w:color="877B77" w:themeColor="accent5"/>
          <w:right w:val="single" w:sz="4" w:space="0" w:color="877B77" w:themeColor="accent5"/>
          <w:insideH w:val="nil"/>
        </w:tcBorders>
        <w:shd w:val="clear" w:color="auto" w:fill="877B77" w:themeFill="accent5"/>
      </w:tcPr>
    </w:tblStylePr>
    <w:tblStylePr w:type="lastRow">
      <w:rPr>
        <w:b/>
        <w:bCs/>
      </w:rPr>
      <w:tblPr/>
      <w:tcPr>
        <w:tcBorders>
          <w:top w:val="double" w:sz="4" w:space="0" w:color="B7AFAD" w:themeColor="accent5" w:themeTint="99"/>
        </w:tcBorders>
      </w:tcPr>
    </w:tblStylePr>
    <w:tblStylePr w:type="firstCol">
      <w:rPr>
        <w:b/>
        <w:bCs/>
      </w:rPr>
    </w:tblStylePr>
    <w:tblStylePr w:type="lastCol">
      <w:rPr>
        <w:b/>
        <w:bCs/>
      </w:rPr>
    </w:tblStylePr>
    <w:tblStylePr w:type="band1Vert">
      <w:tblPr/>
      <w:tcPr>
        <w:shd w:val="clear" w:color="auto" w:fill="E7E4E3" w:themeFill="accent5" w:themeFillTint="33"/>
      </w:tcPr>
    </w:tblStylePr>
    <w:tblStylePr w:type="band1Horz">
      <w:tblPr/>
      <w:tcPr>
        <w:shd w:val="clear" w:color="auto" w:fill="E7E4E3" w:themeFill="accent5" w:themeFillTint="33"/>
      </w:tcPr>
    </w:tblStylePr>
  </w:style>
  <w:style w:type="table" w:styleId="ListTable4-Accent3">
    <w:name w:val="List Table 4 Accent 3"/>
    <w:basedOn w:val="TableNormal"/>
    <w:uiPriority w:val="49"/>
    <w:rsid w:val="00B66C99"/>
    <w:pPr>
      <w:spacing w:after="0" w:line="240" w:lineRule="auto"/>
    </w:pPr>
    <w:rPr>
      <w:sz w:val="18"/>
    </w:rPr>
    <w:tblPr>
      <w:tblStyleRowBandSize w:val="1"/>
      <w:tblStyleColBandSize w:val="1"/>
      <w:tblBorders>
        <w:top w:val="single" w:sz="4" w:space="0" w:color="DDC9FF" w:themeColor="accent3" w:themeTint="99"/>
        <w:left w:val="single" w:sz="4" w:space="0" w:color="DDC9FF" w:themeColor="accent3" w:themeTint="99"/>
        <w:bottom w:val="single" w:sz="4" w:space="0" w:color="DDC9FF" w:themeColor="accent3" w:themeTint="99"/>
        <w:right w:val="single" w:sz="4" w:space="0" w:color="DDC9FF" w:themeColor="accent3" w:themeTint="99"/>
        <w:insideH w:val="single" w:sz="4" w:space="0" w:color="DDC9FF" w:themeColor="accent3" w:themeTint="99"/>
      </w:tblBorders>
    </w:tblPr>
    <w:tblStylePr w:type="firstRow">
      <w:rPr>
        <w:b/>
        <w:bCs/>
        <w:color w:val="FFFFFF" w:themeColor="background1"/>
      </w:rPr>
      <w:tblPr/>
      <w:tcPr>
        <w:tcBorders>
          <w:top w:val="single" w:sz="4" w:space="0" w:color="C7A5FF" w:themeColor="accent3"/>
          <w:left w:val="single" w:sz="4" w:space="0" w:color="C7A5FF" w:themeColor="accent3"/>
          <w:bottom w:val="single" w:sz="4" w:space="0" w:color="C7A5FF" w:themeColor="accent3"/>
          <w:right w:val="single" w:sz="4" w:space="0" w:color="C7A5FF" w:themeColor="accent3"/>
          <w:insideH w:val="nil"/>
        </w:tcBorders>
        <w:shd w:val="clear" w:color="auto" w:fill="C7A5FF" w:themeFill="accent3"/>
      </w:tcPr>
    </w:tblStylePr>
    <w:tblStylePr w:type="lastRow">
      <w:rPr>
        <w:b/>
        <w:bCs/>
      </w:rPr>
      <w:tblPr/>
      <w:tcPr>
        <w:tcBorders>
          <w:top w:val="double" w:sz="4" w:space="0" w:color="DDC9FF" w:themeColor="accent3" w:themeTint="99"/>
        </w:tcBorders>
      </w:tcPr>
    </w:tblStylePr>
    <w:tblStylePr w:type="firstCol">
      <w:rPr>
        <w:b/>
        <w:bCs/>
      </w:rPr>
    </w:tblStylePr>
    <w:tblStylePr w:type="lastCol">
      <w:rPr>
        <w:b/>
        <w:bCs/>
      </w:rPr>
    </w:tblStylePr>
    <w:tblStylePr w:type="band1Vert">
      <w:tblPr/>
      <w:tcPr>
        <w:shd w:val="clear" w:color="auto" w:fill="F3EDFF" w:themeFill="accent3" w:themeFillTint="33"/>
      </w:tcPr>
    </w:tblStylePr>
    <w:tblStylePr w:type="band1Horz">
      <w:tblPr/>
      <w:tcPr>
        <w:shd w:val="clear" w:color="auto" w:fill="F3EDFF" w:themeFill="accent3" w:themeFillTint="33"/>
      </w:tcPr>
    </w:tblStylePr>
  </w:style>
  <w:style w:type="table" w:styleId="ListTable4-Accent2">
    <w:name w:val="List Table 4 Accent 2"/>
    <w:basedOn w:val="TableNormal"/>
    <w:uiPriority w:val="49"/>
    <w:rsid w:val="00B66C99"/>
    <w:pPr>
      <w:spacing w:after="0" w:line="240" w:lineRule="auto"/>
    </w:pPr>
    <w:rPr>
      <w:sz w:val="18"/>
    </w:rPr>
    <w:tblPr>
      <w:tblStyleRowBandSize w:val="1"/>
      <w:tblStyleColBandSize w:val="1"/>
      <w:tblBorders>
        <w:top w:val="single" w:sz="4" w:space="0" w:color="7C49BC" w:themeColor="accent2" w:themeTint="99"/>
        <w:left w:val="single" w:sz="4" w:space="0" w:color="7C49BC" w:themeColor="accent2" w:themeTint="99"/>
        <w:bottom w:val="single" w:sz="4" w:space="0" w:color="7C49BC" w:themeColor="accent2" w:themeTint="99"/>
        <w:right w:val="single" w:sz="4" w:space="0" w:color="7C49BC" w:themeColor="accent2" w:themeTint="99"/>
        <w:insideH w:val="single" w:sz="4" w:space="0" w:color="7C49BC" w:themeColor="accent2" w:themeTint="99"/>
      </w:tblBorders>
    </w:tblPr>
    <w:tblStylePr w:type="firstRow">
      <w:rPr>
        <w:b/>
        <w:bCs/>
        <w:color w:val="FFFFFF" w:themeColor="background1"/>
      </w:rPr>
      <w:tblPr/>
      <w:tcPr>
        <w:tcBorders>
          <w:top w:val="single" w:sz="4" w:space="0" w:color="2E1A47" w:themeColor="accent2"/>
          <w:left w:val="single" w:sz="4" w:space="0" w:color="2E1A47" w:themeColor="accent2"/>
          <w:bottom w:val="single" w:sz="4" w:space="0" w:color="2E1A47" w:themeColor="accent2"/>
          <w:right w:val="single" w:sz="4" w:space="0" w:color="2E1A47" w:themeColor="accent2"/>
          <w:insideH w:val="nil"/>
        </w:tcBorders>
        <w:shd w:val="clear" w:color="auto" w:fill="2E1A47" w:themeFill="accent2"/>
      </w:tcPr>
    </w:tblStylePr>
    <w:tblStylePr w:type="lastRow">
      <w:rPr>
        <w:b/>
        <w:bCs/>
      </w:rPr>
      <w:tblPr/>
      <w:tcPr>
        <w:tcBorders>
          <w:top w:val="double" w:sz="4" w:space="0" w:color="7C49BC" w:themeColor="accent2" w:themeTint="99"/>
        </w:tcBorders>
      </w:tcPr>
    </w:tblStylePr>
    <w:tblStylePr w:type="firstCol">
      <w:rPr>
        <w:b/>
        <w:bCs/>
      </w:rPr>
    </w:tblStylePr>
    <w:tblStylePr w:type="lastCol">
      <w:rPr>
        <w:b/>
        <w:bCs/>
      </w:rPr>
    </w:tblStylePr>
    <w:tblStylePr w:type="band1Vert">
      <w:tblPr/>
      <w:tcPr>
        <w:shd w:val="clear" w:color="auto" w:fill="D3C2E8" w:themeFill="accent2" w:themeFillTint="33"/>
      </w:tcPr>
    </w:tblStylePr>
    <w:tblStylePr w:type="band1Horz">
      <w:tblPr/>
      <w:tcPr>
        <w:shd w:val="clear" w:color="auto" w:fill="D3C2E8" w:themeFill="accent2" w:themeFillTint="33"/>
      </w:tcPr>
    </w:tblStylePr>
  </w:style>
  <w:style w:type="table" w:styleId="ListTable4-Accent1">
    <w:name w:val="List Table 4 Accent 1"/>
    <w:basedOn w:val="TableNormal"/>
    <w:uiPriority w:val="49"/>
    <w:rsid w:val="00B66C99"/>
    <w:pPr>
      <w:spacing w:after="0" w:line="240" w:lineRule="auto"/>
    </w:pPr>
    <w:rPr>
      <w:sz w:val="18"/>
    </w:rPr>
    <w:tblPr>
      <w:tblStyleRowBandSize w:val="1"/>
      <w:tblStyleColBandSize w:val="1"/>
      <w:tblBorders>
        <w:top w:val="single" w:sz="4" w:space="0" w:color="B781BF" w:themeColor="accent1" w:themeTint="99"/>
        <w:left w:val="single" w:sz="4" w:space="0" w:color="B781BF" w:themeColor="accent1" w:themeTint="99"/>
        <w:bottom w:val="single" w:sz="4" w:space="0" w:color="B781BF" w:themeColor="accent1" w:themeTint="99"/>
        <w:right w:val="single" w:sz="4" w:space="0" w:color="B781BF" w:themeColor="accent1" w:themeTint="99"/>
        <w:insideH w:val="single" w:sz="4" w:space="0" w:color="B781BF" w:themeColor="accent1" w:themeTint="99"/>
      </w:tblBorders>
    </w:tblPr>
    <w:tblStylePr w:type="firstRow">
      <w:rPr>
        <w:b/>
        <w:bCs/>
        <w:color w:val="FFFFFF" w:themeColor="background1"/>
      </w:rPr>
      <w:tblPr/>
      <w:tcPr>
        <w:tcBorders>
          <w:top w:val="single" w:sz="4" w:space="0" w:color="7A4282" w:themeColor="accent1"/>
          <w:left w:val="single" w:sz="4" w:space="0" w:color="7A4282" w:themeColor="accent1"/>
          <w:bottom w:val="single" w:sz="4" w:space="0" w:color="7A4282" w:themeColor="accent1"/>
          <w:right w:val="single" w:sz="4" w:space="0" w:color="7A4282" w:themeColor="accent1"/>
          <w:insideH w:val="nil"/>
        </w:tcBorders>
        <w:shd w:val="clear" w:color="auto" w:fill="7A4282" w:themeFill="accent1"/>
      </w:tcPr>
    </w:tblStylePr>
    <w:tblStylePr w:type="lastRow">
      <w:rPr>
        <w:b/>
        <w:bCs/>
      </w:rPr>
      <w:tblPr/>
      <w:tcPr>
        <w:tcBorders>
          <w:top w:val="double" w:sz="4" w:space="0" w:color="B781BF" w:themeColor="accent1" w:themeTint="99"/>
        </w:tcBorders>
      </w:tcPr>
    </w:tblStylePr>
    <w:tblStylePr w:type="firstCol">
      <w:rPr>
        <w:b/>
        <w:bCs/>
      </w:rPr>
    </w:tblStylePr>
    <w:tblStylePr w:type="lastCol">
      <w:rPr>
        <w:b/>
        <w:bCs/>
      </w:rPr>
    </w:tblStylePr>
    <w:tblStylePr w:type="band1Vert">
      <w:tblPr/>
      <w:tcPr>
        <w:shd w:val="clear" w:color="auto" w:fill="E7D5E9" w:themeFill="accent1" w:themeFillTint="33"/>
      </w:tcPr>
    </w:tblStylePr>
    <w:tblStylePr w:type="band1Horz">
      <w:tblPr/>
      <w:tcPr>
        <w:shd w:val="clear" w:color="auto" w:fill="E7D5E9" w:themeFill="accent1" w:themeFillTint="33"/>
      </w:tcPr>
    </w:tblStylePr>
  </w:style>
  <w:style w:type="table" w:styleId="ListTable4">
    <w:name w:val="List Table 4"/>
    <w:basedOn w:val="TableNormal"/>
    <w:uiPriority w:val="49"/>
    <w:rsid w:val="00B66C99"/>
    <w:pPr>
      <w:spacing w:after="0" w:line="240" w:lineRule="auto"/>
    </w:pPr>
    <w:rPr>
      <w:sz w:val="18"/>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5">
    <w:name w:val="List Table 2 Accent 5"/>
    <w:basedOn w:val="TableNormal"/>
    <w:uiPriority w:val="47"/>
    <w:rsid w:val="00B66C99"/>
    <w:pPr>
      <w:spacing w:after="0" w:line="240" w:lineRule="auto"/>
    </w:pPr>
    <w:rPr>
      <w:sz w:val="18"/>
    </w:rPr>
    <w:tblPr>
      <w:tblStyleRowBandSize w:val="1"/>
      <w:tblStyleColBandSize w:val="1"/>
      <w:tblBorders>
        <w:top w:val="single" w:sz="4" w:space="0" w:color="B7AFAD" w:themeColor="accent5" w:themeTint="99"/>
        <w:bottom w:val="single" w:sz="4" w:space="0" w:color="B7AFAD" w:themeColor="accent5" w:themeTint="99"/>
        <w:insideH w:val="single" w:sz="4" w:space="0" w:color="B7AFA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E4E3" w:themeFill="accent5" w:themeFillTint="33"/>
      </w:tcPr>
    </w:tblStylePr>
    <w:tblStylePr w:type="band1Horz">
      <w:tblPr/>
      <w:tcPr>
        <w:shd w:val="clear" w:color="auto" w:fill="E7E4E3" w:themeFill="accent5" w:themeFillTint="33"/>
      </w:tcPr>
    </w:tblStylePr>
  </w:style>
  <w:style w:type="table" w:styleId="ListTable2-Accent4">
    <w:name w:val="List Table 2 Accent 4"/>
    <w:basedOn w:val="TableNormal"/>
    <w:uiPriority w:val="47"/>
    <w:rsid w:val="00B66C99"/>
    <w:pPr>
      <w:spacing w:after="0" w:line="240" w:lineRule="auto"/>
    </w:pPr>
    <w:rPr>
      <w:sz w:val="18"/>
    </w:rPr>
    <w:tblPr>
      <w:tblStyleRowBandSize w:val="1"/>
      <w:tblStyleColBandSize w:val="1"/>
      <w:tblBorders>
        <w:top w:val="single" w:sz="4" w:space="0" w:color="DDB5A9" w:themeColor="accent4" w:themeTint="99"/>
        <w:bottom w:val="single" w:sz="4" w:space="0" w:color="DDB5A9" w:themeColor="accent4" w:themeTint="99"/>
        <w:insideH w:val="single" w:sz="4" w:space="0" w:color="DDB5A9"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E6E2" w:themeFill="accent4" w:themeFillTint="33"/>
      </w:tcPr>
    </w:tblStylePr>
    <w:tblStylePr w:type="band1Horz">
      <w:tblPr/>
      <w:tcPr>
        <w:shd w:val="clear" w:color="auto" w:fill="F3E6E2" w:themeFill="accent4" w:themeFillTint="33"/>
      </w:tcPr>
    </w:tblStylePr>
  </w:style>
  <w:style w:type="table" w:styleId="ListTable2-Accent3">
    <w:name w:val="List Table 2 Accent 3"/>
    <w:basedOn w:val="TableNormal"/>
    <w:uiPriority w:val="47"/>
    <w:rsid w:val="00B66C99"/>
    <w:pPr>
      <w:spacing w:after="0" w:line="240" w:lineRule="auto"/>
    </w:pPr>
    <w:rPr>
      <w:sz w:val="18"/>
    </w:rPr>
    <w:tblPr>
      <w:tblStyleRowBandSize w:val="1"/>
      <w:tblStyleColBandSize w:val="1"/>
      <w:tblBorders>
        <w:top w:val="single" w:sz="4" w:space="0" w:color="DDC9FF" w:themeColor="accent3" w:themeTint="99"/>
        <w:bottom w:val="single" w:sz="4" w:space="0" w:color="DDC9FF" w:themeColor="accent3" w:themeTint="99"/>
        <w:insideH w:val="single" w:sz="4" w:space="0" w:color="DDC9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EDFF" w:themeFill="accent3" w:themeFillTint="33"/>
      </w:tcPr>
    </w:tblStylePr>
    <w:tblStylePr w:type="band1Horz">
      <w:tblPr/>
      <w:tcPr>
        <w:shd w:val="clear" w:color="auto" w:fill="F3EDFF" w:themeFill="accent3" w:themeFillTint="33"/>
      </w:tcPr>
    </w:tblStylePr>
  </w:style>
  <w:style w:type="table" w:styleId="ListTable2-Accent2">
    <w:name w:val="List Table 2 Accent 2"/>
    <w:basedOn w:val="TableNormal"/>
    <w:uiPriority w:val="47"/>
    <w:rsid w:val="00B66C99"/>
    <w:pPr>
      <w:spacing w:after="0" w:line="240" w:lineRule="auto"/>
    </w:pPr>
    <w:rPr>
      <w:sz w:val="18"/>
    </w:rPr>
    <w:tblPr>
      <w:tblStyleRowBandSize w:val="1"/>
      <w:tblStyleColBandSize w:val="1"/>
      <w:tblBorders>
        <w:top w:val="single" w:sz="4" w:space="0" w:color="7C49BC" w:themeColor="accent2" w:themeTint="99"/>
        <w:bottom w:val="single" w:sz="4" w:space="0" w:color="7C49BC" w:themeColor="accent2" w:themeTint="99"/>
        <w:insideH w:val="single" w:sz="4" w:space="0" w:color="7C49BC"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C2E8" w:themeFill="accent2" w:themeFillTint="33"/>
      </w:tcPr>
    </w:tblStylePr>
    <w:tblStylePr w:type="band1Horz">
      <w:tblPr/>
      <w:tcPr>
        <w:shd w:val="clear" w:color="auto" w:fill="D3C2E8" w:themeFill="accent2" w:themeFillTint="33"/>
      </w:tcPr>
    </w:tblStylePr>
  </w:style>
  <w:style w:type="table" w:styleId="ListTable2-Accent1">
    <w:name w:val="List Table 2 Accent 1"/>
    <w:basedOn w:val="TableNormal"/>
    <w:uiPriority w:val="47"/>
    <w:rsid w:val="00B66C99"/>
    <w:pPr>
      <w:spacing w:after="0" w:line="240" w:lineRule="auto"/>
    </w:pPr>
    <w:rPr>
      <w:sz w:val="18"/>
    </w:rPr>
    <w:tblPr>
      <w:tblStyleRowBandSize w:val="1"/>
      <w:tblStyleColBandSize w:val="1"/>
      <w:tblBorders>
        <w:top w:val="single" w:sz="4" w:space="0" w:color="B781BF" w:themeColor="accent1" w:themeTint="99"/>
        <w:bottom w:val="single" w:sz="4" w:space="0" w:color="B781BF" w:themeColor="accent1" w:themeTint="99"/>
        <w:insideH w:val="single" w:sz="4" w:space="0" w:color="B781B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D5E9" w:themeFill="accent1" w:themeFillTint="33"/>
      </w:tcPr>
    </w:tblStylePr>
    <w:tblStylePr w:type="band1Horz">
      <w:tblPr/>
      <w:tcPr>
        <w:shd w:val="clear" w:color="auto" w:fill="E7D5E9" w:themeFill="accent1" w:themeFillTint="33"/>
      </w:tcPr>
    </w:tblStylePr>
  </w:style>
  <w:style w:type="table" w:styleId="ListTable2">
    <w:name w:val="List Table 2"/>
    <w:basedOn w:val="TableNormal"/>
    <w:uiPriority w:val="47"/>
    <w:rsid w:val="00B66C99"/>
    <w:pPr>
      <w:spacing w:after="0" w:line="240" w:lineRule="auto"/>
    </w:pPr>
    <w:rPr>
      <w:sz w:val="18"/>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5">
    <w:name w:val="List Table 1 Light Accent 5"/>
    <w:basedOn w:val="TableNormal"/>
    <w:uiPriority w:val="46"/>
    <w:rsid w:val="00B66C99"/>
    <w:pPr>
      <w:spacing w:after="0" w:line="240" w:lineRule="auto"/>
    </w:pPr>
    <w:rPr>
      <w:sz w:val="18"/>
    </w:rPr>
    <w:tblPr>
      <w:tblStyleRowBandSize w:val="1"/>
      <w:tblStyleColBandSize w:val="1"/>
    </w:tblPr>
    <w:tblStylePr w:type="firstRow">
      <w:rPr>
        <w:b/>
        <w:bCs/>
      </w:rPr>
      <w:tblPr/>
      <w:tcPr>
        <w:tcBorders>
          <w:bottom w:val="single" w:sz="4" w:space="0" w:color="B7AFAD" w:themeColor="accent5" w:themeTint="99"/>
        </w:tcBorders>
      </w:tcPr>
    </w:tblStylePr>
    <w:tblStylePr w:type="lastRow">
      <w:rPr>
        <w:b/>
        <w:bCs/>
      </w:rPr>
      <w:tblPr/>
      <w:tcPr>
        <w:tcBorders>
          <w:top w:val="single" w:sz="4" w:space="0" w:color="B7AFAD" w:themeColor="accent5" w:themeTint="99"/>
        </w:tcBorders>
      </w:tcPr>
    </w:tblStylePr>
    <w:tblStylePr w:type="firstCol">
      <w:rPr>
        <w:b/>
        <w:bCs/>
      </w:rPr>
    </w:tblStylePr>
    <w:tblStylePr w:type="lastCol">
      <w:rPr>
        <w:b/>
        <w:bCs/>
      </w:rPr>
    </w:tblStylePr>
    <w:tblStylePr w:type="band1Vert">
      <w:tblPr/>
      <w:tcPr>
        <w:shd w:val="clear" w:color="auto" w:fill="E7E4E3" w:themeFill="accent5" w:themeFillTint="33"/>
      </w:tcPr>
    </w:tblStylePr>
    <w:tblStylePr w:type="band1Horz">
      <w:tblPr/>
      <w:tcPr>
        <w:shd w:val="clear" w:color="auto" w:fill="E7E4E3" w:themeFill="accent5" w:themeFillTint="33"/>
      </w:tcPr>
    </w:tblStylePr>
  </w:style>
  <w:style w:type="table" w:styleId="ListTable1Light-Accent4">
    <w:name w:val="List Table 1 Light Accent 4"/>
    <w:basedOn w:val="TableNormal"/>
    <w:uiPriority w:val="46"/>
    <w:rsid w:val="00B66C99"/>
    <w:pPr>
      <w:spacing w:after="0" w:line="240" w:lineRule="auto"/>
    </w:pPr>
    <w:rPr>
      <w:sz w:val="18"/>
    </w:rPr>
    <w:tblPr>
      <w:tblStyleRowBandSize w:val="1"/>
      <w:tblStyleColBandSize w:val="1"/>
    </w:tblPr>
    <w:tblStylePr w:type="firstRow">
      <w:rPr>
        <w:b/>
        <w:bCs/>
      </w:rPr>
      <w:tblPr/>
      <w:tcPr>
        <w:tcBorders>
          <w:bottom w:val="single" w:sz="4" w:space="0" w:color="DDB5A9" w:themeColor="accent4" w:themeTint="99"/>
        </w:tcBorders>
      </w:tcPr>
    </w:tblStylePr>
    <w:tblStylePr w:type="lastRow">
      <w:rPr>
        <w:b/>
        <w:bCs/>
      </w:rPr>
      <w:tblPr/>
      <w:tcPr>
        <w:tcBorders>
          <w:top w:val="single" w:sz="4" w:space="0" w:color="DDB5A9" w:themeColor="accent4" w:themeTint="99"/>
        </w:tcBorders>
      </w:tcPr>
    </w:tblStylePr>
    <w:tblStylePr w:type="firstCol">
      <w:rPr>
        <w:b/>
        <w:bCs/>
      </w:rPr>
    </w:tblStylePr>
    <w:tblStylePr w:type="lastCol">
      <w:rPr>
        <w:b/>
        <w:bCs/>
      </w:rPr>
    </w:tblStylePr>
    <w:tblStylePr w:type="band1Vert">
      <w:tblPr/>
      <w:tcPr>
        <w:shd w:val="clear" w:color="auto" w:fill="F3E6E2" w:themeFill="accent4" w:themeFillTint="33"/>
      </w:tcPr>
    </w:tblStylePr>
    <w:tblStylePr w:type="band1Horz">
      <w:tblPr/>
      <w:tcPr>
        <w:shd w:val="clear" w:color="auto" w:fill="F3E6E2" w:themeFill="accent4" w:themeFillTint="33"/>
      </w:tcPr>
    </w:tblStylePr>
  </w:style>
  <w:style w:type="table" w:styleId="ListTable1Light-Accent3">
    <w:name w:val="List Table 1 Light Accent 3"/>
    <w:basedOn w:val="TableNormal"/>
    <w:uiPriority w:val="46"/>
    <w:rsid w:val="00B66C99"/>
    <w:pPr>
      <w:spacing w:after="0" w:line="240" w:lineRule="auto"/>
    </w:pPr>
    <w:rPr>
      <w:sz w:val="18"/>
    </w:rPr>
    <w:tblPr>
      <w:tblStyleRowBandSize w:val="1"/>
      <w:tblStyleColBandSize w:val="1"/>
    </w:tblPr>
    <w:tblStylePr w:type="firstRow">
      <w:rPr>
        <w:b/>
        <w:bCs/>
      </w:rPr>
      <w:tblPr/>
      <w:tcPr>
        <w:tcBorders>
          <w:bottom w:val="single" w:sz="4" w:space="0" w:color="DDC9FF" w:themeColor="accent3" w:themeTint="99"/>
        </w:tcBorders>
      </w:tcPr>
    </w:tblStylePr>
    <w:tblStylePr w:type="lastRow">
      <w:rPr>
        <w:b/>
        <w:bCs/>
      </w:rPr>
      <w:tblPr/>
      <w:tcPr>
        <w:tcBorders>
          <w:top w:val="single" w:sz="4" w:space="0" w:color="DDC9FF" w:themeColor="accent3" w:themeTint="99"/>
        </w:tcBorders>
      </w:tcPr>
    </w:tblStylePr>
    <w:tblStylePr w:type="firstCol">
      <w:rPr>
        <w:b/>
        <w:bCs/>
      </w:rPr>
    </w:tblStylePr>
    <w:tblStylePr w:type="lastCol">
      <w:rPr>
        <w:b/>
        <w:bCs/>
      </w:rPr>
    </w:tblStylePr>
    <w:tblStylePr w:type="band1Vert">
      <w:tblPr/>
      <w:tcPr>
        <w:shd w:val="clear" w:color="auto" w:fill="F3EDFF" w:themeFill="accent3" w:themeFillTint="33"/>
      </w:tcPr>
    </w:tblStylePr>
    <w:tblStylePr w:type="band1Horz">
      <w:tblPr/>
      <w:tcPr>
        <w:shd w:val="clear" w:color="auto" w:fill="F3EDFF" w:themeFill="accent3" w:themeFillTint="33"/>
      </w:tcPr>
    </w:tblStylePr>
  </w:style>
  <w:style w:type="table" w:styleId="ListTable1Light-Accent2">
    <w:name w:val="List Table 1 Light Accent 2"/>
    <w:basedOn w:val="TableNormal"/>
    <w:uiPriority w:val="46"/>
    <w:rsid w:val="00B66C99"/>
    <w:pPr>
      <w:spacing w:after="0" w:line="240" w:lineRule="auto"/>
    </w:pPr>
    <w:rPr>
      <w:sz w:val="18"/>
    </w:rPr>
    <w:tblPr>
      <w:tblStyleRowBandSize w:val="1"/>
      <w:tblStyleColBandSize w:val="1"/>
    </w:tblPr>
    <w:tblStylePr w:type="firstRow">
      <w:rPr>
        <w:b/>
        <w:bCs/>
      </w:rPr>
      <w:tblPr/>
      <w:tcPr>
        <w:tcBorders>
          <w:bottom w:val="single" w:sz="4" w:space="0" w:color="7C49BC" w:themeColor="accent2" w:themeTint="99"/>
        </w:tcBorders>
      </w:tcPr>
    </w:tblStylePr>
    <w:tblStylePr w:type="lastRow">
      <w:rPr>
        <w:b/>
        <w:bCs/>
      </w:rPr>
      <w:tblPr/>
      <w:tcPr>
        <w:tcBorders>
          <w:top w:val="single" w:sz="4" w:space="0" w:color="7C49BC" w:themeColor="accent2" w:themeTint="99"/>
        </w:tcBorders>
      </w:tcPr>
    </w:tblStylePr>
    <w:tblStylePr w:type="firstCol">
      <w:rPr>
        <w:b/>
        <w:bCs/>
      </w:rPr>
    </w:tblStylePr>
    <w:tblStylePr w:type="lastCol">
      <w:rPr>
        <w:b/>
        <w:bCs/>
      </w:rPr>
    </w:tblStylePr>
    <w:tblStylePr w:type="band1Vert">
      <w:tblPr/>
      <w:tcPr>
        <w:shd w:val="clear" w:color="auto" w:fill="D3C2E8" w:themeFill="accent2" w:themeFillTint="33"/>
      </w:tcPr>
    </w:tblStylePr>
    <w:tblStylePr w:type="band1Horz">
      <w:tblPr/>
      <w:tcPr>
        <w:shd w:val="clear" w:color="auto" w:fill="D3C2E8" w:themeFill="accent2" w:themeFillTint="33"/>
      </w:tcPr>
    </w:tblStylePr>
  </w:style>
  <w:style w:type="table" w:styleId="ListTable1Light-Accent1">
    <w:name w:val="List Table 1 Light Accent 1"/>
    <w:basedOn w:val="TableNormal"/>
    <w:uiPriority w:val="46"/>
    <w:rsid w:val="00B66C99"/>
    <w:pPr>
      <w:spacing w:after="0" w:line="240" w:lineRule="auto"/>
    </w:pPr>
    <w:rPr>
      <w:sz w:val="18"/>
    </w:rPr>
    <w:tblPr>
      <w:tblStyleRowBandSize w:val="1"/>
      <w:tblStyleColBandSize w:val="1"/>
    </w:tblPr>
    <w:tblStylePr w:type="firstRow">
      <w:rPr>
        <w:b/>
        <w:bCs/>
      </w:rPr>
      <w:tblPr/>
      <w:tcPr>
        <w:tcBorders>
          <w:bottom w:val="single" w:sz="4" w:space="0" w:color="B781BF" w:themeColor="accent1" w:themeTint="99"/>
        </w:tcBorders>
      </w:tcPr>
    </w:tblStylePr>
    <w:tblStylePr w:type="lastRow">
      <w:rPr>
        <w:b/>
        <w:bCs/>
      </w:rPr>
      <w:tblPr/>
      <w:tcPr>
        <w:tcBorders>
          <w:top w:val="single" w:sz="4" w:space="0" w:color="B781BF" w:themeColor="accent1" w:themeTint="99"/>
        </w:tcBorders>
      </w:tcPr>
    </w:tblStylePr>
    <w:tblStylePr w:type="firstCol">
      <w:rPr>
        <w:b/>
        <w:bCs/>
      </w:rPr>
    </w:tblStylePr>
    <w:tblStylePr w:type="lastCol">
      <w:rPr>
        <w:b/>
        <w:bCs/>
      </w:rPr>
    </w:tblStylePr>
    <w:tblStylePr w:type="band1Vert">
      <w:tblPr/>
      <w:tcPr>
        <w:shd w:val="clear" w:color="auto" w:fill="E7D5E9" w:themeFill="accent1" w:themeFillTint="33"/>
      </w:tcPr>
    </w:tblStylePr>
    <w:tblStylePr w:type="band1Horz">
      <w:tblPr/>
      <w:tcPr>
        <w:shd w:val="clear" w:color="auto" w:fill="E7D5E9" w:themeFill="accent1" w:themeFillTint="33"/>
      </w:tcPr>
    </w:tblStylePr>
  </w:style>
  <w:style w:type="table" w:styleId="ListTable1Light">
    <w:name w:val="List Table 1 Light"/>
    <w:basedOn w:val="TableNormal"/>
    <w:uiPriority w:val="46"/>
    <w:rsid w:val="00B66C99"/>
    <w:pPr>
      <w:spacing w:after="0" w:line="240" w:lineRule="auto"/>
    </w:pPr>
    <w:rPr>
      <w:sz w:val="18"/>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7ColourfulAccent5">
    <w:name w:val="Grid Table 7 Colorful Accent 5"/>
    <w:basedOn w:val="TableNormal"/>
    <w:uiPriority w:val="52"/>
    <w:rsid w:val="00B66C99"/>
    <w:pPr>
      <w:spacing w:after="0" w:line="240" w:lineRule="auto"/>
    </w:pPr>
    <w:rPr>
      <w:color w:val="645C59" w:themeColor="accent5" w:themeShade="BF"/>
      <w:sz w:val="18"/>
    </w:rPr>
    <w:tblPr>
      <w:tblStyleRowBandSize w:val="1"/>
      <w:tblStyleColBandSize w:val="1"/>
      <w:tblBorders>
        <w:top w:val="single" w:sz="4" w:space="0" w:color="B7AFAD" w:themeColor="accent5" w:themeTint="99"/>
        <w:left w:val="single" w:sz="4" w:space="0" w:color="B7AFAD" w:themeColor="accent5" w:themeTint="99"/>
        <w:bottom w:val="single" w:sz="4" w:space="0" w:color="B7AFAD" w:themeColor="accent5" w:themeTint="99"/>
        <w:right w:val="single" w:sz="4" w:space="0" w:color="B7AFAD" w:themeColor="accent5" w:themeTint="99"/>
        <w:insideH w:val="single" w:sz="4" w:space="0" w:color="B7AFAD" w:themeColor="accent5" w:themeTint="99"/>
        <w:insideV w:val="single" w:sz="4" w:space="0" w:color="B7AFA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E4E3" w:themeFill="accent5" w:themeFillTint="33"/>
      </w:tcPr>
    </w:tblStylePr>
    <w:tblStylePr w:type="band1Horz">
      <w:tblPr/>
      <w:tcPr>
        <w:shd w:val="clear" w:color="auto" w:fill="E7E4E3" w:themeFill="accent5" w:themeFillTint="33"/>
      </w:tcPr>
    </w:tblStylePr>
    <w:tblStylePr w:type="neCell">
      <w:tblPr/>
      <w:tcPr>
        <w:tcBorders>
          <w:bottom w:val="single" w:sz="4" w:space="0" w:color="B7AFAD" w:themeColor="accent5" w:themeTint="99"/>
        </w:tcBorders>
      </w:tcPr>
    </w:tblStylePr>
    <w:tblStylePr w:type="nwCell">
      <w:tblPr/>
      <w:tcPr>
        <w:tcBorders>
          <w:bottom w:val="single" w:sz="4" w:space="0" w:color="B7AFAD" w:themeColor="accent5" w:themeTint="99"/>
        </w:tcBorders>
      </w:tcPr>
    </w:tblStylePr>
    <w:tblStylePr w:type="seCell">
      <w:tblPr/>
      <w:tcPr>
        <w:tcBorders>
          <w:top w:val="single" w:sz="4" w:space="0" w:color="B7AFAD" w:themeColor="accent5" w:themeTint="99"/>
        </w:tcBorders>
      </w:tcPr>
    </w:tblStylePr>
    <w:tblStylePr w:type="swCell">
      <w:tblPr/>
      <w:tcPr>
        <w:tcBorders>
          <w:top w:val="single" w:sz="4" w:space="0" w:color="B7AFAD" w:themeColor="accent5" w:themeTint="99"/>
        </w:tcBorders>
      </w:tcPr>
    </w:tblStylePr>
  </w:style>
  <w:style w:type="table" w:styleId="GridTable7ColourfulAccent4">
    <w:name w:val="Grid Table 7 Colorful Accent 4"/>
    <w:basedOn w:val="TableNormal"/>
    <w:uiPriority w:val="52"/>
    <w:rsid w:val="00B66C99"/>
    <w:pPr>
      <w:spacing w:after="0" w:line="240" w:lineRule="auto"/>
    </w:pPr>
    <w:rPr>
      <w:color w:val="A75941" w:themeColor="accent4" w:themeShade="BF"/>
      <w:sz w:val="18"/>
    </w:rPr>
    <w:tblPr>
      <w:tblStyleRowBandSize w:val="1"/>
      <w:tblStyleColBandSize w:val="1"/>
      <w:tblBorders>
        <w:top w:val="single" w:sz="4" w:space="0" w:color="DDB5A9" w:themeColor="accent4" w:themeTint="99"/>
        <w:left w:val="single" w:sz="4" w:space="0" w:color="DDB5A9" w:themeColor="accent4" w:themeTint="99"/>
        <w:bottom w:val="single" w:sz="4" w:space="0" w:color="DDB5A9" w:themeColor="accent4" w:themeTint="99"/>
        <w:right w:val="single" w:sz="4" w:space="0" w:color="DDB5A9" w:themeColor="accent4" w:themeTint="99"/>
        <w:insideH w:val="single" w:sz="4" w:space="0" w:color="DDB5A9" w:themeColor="accent4" w:themeTint="99"/>
        <w:insideV w:val="single" w:sz="4" w:space="0" w:color="DDB5A9"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E6E2" w:themeFill="accent4" w:themeFillTint="33"/>
      </w:tcPr>
    </w:tblStylePr>
    <w:tblStylePr w:type="band1Horz">
      <w:tblPr/>
      <w:tcPr>
        <w:shd w:val="clear" w:color="auto" w:fill="F3E6E2" w:themeFill="accent4" w:themeFillTint="33"/>
      </w:tcPr>
    </w:tblStylePr>
    <w:tblStylePr w:type="neCell">
      <w:tblPr/>
      <w:tcPr>
        <w:tcBorders>
          <w:bottom w:val="single" w:sz="4" w:space="0" w:color="DDB5A9" w:themeColor="accent4" w:themeTint="99"/>
        </w:tcBorders>
      </w:tcPr>
    </w:tblStylePr>
    <w:tblStylePr w:type="nwCell">
      <w:tblPr/>
      <w:tcPr>
        <w:tcBorders>
          <w:bottom w:val="single" w:sz="4" w:space="0" w:color="DDB5A9" w:themeColor="accent4" w:themeTint="99"/>
        </w:tcBorders>
      </w:tcPr>
    </w:tblStylePr>
    <w:tblStylePr w:type="seCell">
      <w:tblPr/>
      <w:tcPr>
        <w:tcBorders>
          <w:top w:val="single" w:sz="4" w:space="0" w:color="DDB5A9" w:themeColor="accent4" w:themeTint="99"/>
        </w:tcBorders>
      </w:tcPr>
    </w:tblStylePr>
    <w:tblStylePr w:type="swCell">
      <w:tblPr/>
      <w:tcPr>
        <w:tcBorders>
          <w:top w:val="single" w:sz="4" w:space="0" w:color="DDB5A9" w:themeColor="accent4" w:themeTint="99"/>
        </w:tcBorders>
      </w:tcPr>
    </w:tblStylePr>
  </w:style>
  <w:style w:type="table" w:styleId="GridTable7ColourfulAccent3">
    <w:name w:val="Grid Table 7 Colorful Accent 3"/>
    <w:basedOn w:val="TableNormal"/>
    <w:uiPriority w:val="52"/>
    <w:rsid w:val="00745914"/>
    <w:pPr>
      <w:spacing w:after="0" w:line="240" w:lineRule="auto"/>
    </w:pPr>
    <w:rPr>
      <w:color w:val="843BFF" w:themeColor="accent3" w:themeShade="BF"/>
      <w:sz w:val="18"/>
    </w:rPr>
    <w:tblPr>
      <w:tblStyleRowBandSize w:val="1"/>
      <w:tblStyleColBandSize w:val="1"/>
      <w:tblBorders>
        <w:top w:val="single" w:sz="4" w:space="0" w:color="DDC9FF" w:themeColor="accent3" w:themeTint="99"/>
        <w:left w:val="single" w:sz="4" w:space="0" w:color="DDC9FF" w:themeColor="accent3" w:themeTint="99"/>
        <w:bottom w:val="single" w:sz="4" w:space="0" w:color="DDC9FF" w:themeColor="accent3" w:themeTint="99"/>
        <w:right w:val="single" w:sz="4" w:space="0" w:color="DDC9FF" w:themeColor="accent3" w:themeTint="99"/>
        <w:insideH w:val="single" w:sz="4" w:space="0" w:color="DDC9FF" w:themeColor="accent3" w:themeTint="99"/>
        <w:insideV w:val="single" w:sz="4" w:space="0" w:color="DDC9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EDFF" w:themeFill="accent3" w:themeFillTint="33"/>
      </w:tcPr>
    </w:tblStylePr>
    <w:tblStylePr w:type="band1Horz">
      <w:tblPr/>
      <w:tcPr>
        <w:shd w:val="clear" w:color="auto" w:fill="F3EDFF" w:themeFill="accent3" w:themeFillTint="33"/>
      </w:tcPr>
    </w:tblStylePr>
    <w:tblStylePr w:type="neCell">
      <w:tblPr/>
      <w:tcPr>
        <w:tcBorders>
          <w:bottom w:val="single" w:sz="4" w:space="0" w:color="DDC9FF" w:themeColor="accent3" w:themeTint="99"/>
        </w:tcBorders>
      </w:tcPr>
    </w:tblStylePr>
    <w:tblStylePr w:type="nwCell">
      <w:tblPr/>
      <w:tcPr>
        <w:tcBorders>
          <w:bottom w:val="single" w:sz="4" w:space="0" w:color="DDC9FF" w:themeColor="accent3" w:themeTint="99"/>
        </w:tcBorders>
      </w:tcPr>
    </w:tblStylePr>
    <w:tblStylePr w:type="seCell">
      <w:tblPr/>
      <w:tcPr>
        <w:tcBorders>
          <w:top w:val="single" w:sz="4" w:space="0" w:color="DDC9FF" w:themeColor="accent3" w:themeTint="99"/>
        </w:tcBorders>
      </w:tcPr>
    </w:tblStylePr>
    <w:tblStylePr w:type="swCell">
      <w:tblPr/>
      <w:tcPr>
        <w:tcBorders>
          <w:top w:val="single" w:sz="4" w:space="0" w:color="DDC9FF" w:themeColor="accent3" w:themeTint="99"/>
        </w:tcBorders>
      </w:tcPr>
    </w:tblStylePr>
  </w:style>
  <w:style w:type="table" w:styleId="GridTable7ColourfulAccent2">
    <w:name w:val="Grid Table 7 Colorful Accent 2"/>
    <w:basedOn w:val="TableNormal"/>
    <w:uiPriority w:val="52"/>
    <w:rsid w:val="00745914"/>
    <w:pPr>
      <w:spacing w:after="0" w:line="240" w:lineRule="auto"/>
    </w:pPr>
    <w:rPr>
      <w:color w:val="221334" w:themeColor="accent2" w:themeShade="BF"/>
      <w:sz w:val="18"/>
    </w:rPr>
    <w:tblPr>
      <w:tblStyleRowBandSize w:val="1"/>
      <w:tblStyleColBandSize w:val="1"/>
      <w:tblBorders>
        <w:top w:val="single" w:sz="4" w:space="0" w:color="7C49BC" w:themeColor="accent2" w:themeTint="99"/>
        <w:left w:val="single" w:sz="4" w:space="0" w:color="7C49BC" w:themeColor="accent2" w:themeTint="99"/>
        <w:bottom w:val="single" w:sz="4" w:space="0" w:color="7C49BC" w:themeColor="accent2" w:themeTint="99"/>
        <w:right w:val="single" w:sz="4" w:space="0" w:color="7C49BC" w:themeColor="accent2" w:themeTint="99"/>
        <w:insideH w:val="single" w:sz="4" w:space="0" w:color="7C49BC" w:themeColor="accent2" w:themeTint="99"/>
        <w:insideV w:val="single" w:sz="4" w:space="0" w:color="7C49B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C2E8" w:themeFill="accent2" w:themeFillTint="33"/>
      </w:tcPr>
    </w:tblStylePr>
    <w:tblStylePr w:type="band1Horz">
      <w:tblPr/>
      <w:tcPr>
        <w:shd w:val="clear" w:color="auto" w:fill="D3C2E8" w:themeFill="accent2" w:themeFillTint="33"/>
      </w:tcPr>
    </w:tblStylePr>
    <w:tblStylePr w:type="neCell">
      <w:tblPr/>
      <w:tcPr>
        <w:tcBorders>
          <w:bottom w:val="single" w:sz="4" w:space="0" w:color="7C49BC" w:themeColor="accent2" w:themeTint="99"/>
        </w:tcBorders>
      </w:tcPr>
    </w:tblStylePr>
    <w:tblStylePr w:type="nwCell">
      <w:tblPr/>
      <w:tcPr>
        <w:tcBorders>
          <w:bottom w:val="single" w:sz="4" w:space="0" w:color="7C49BC" w:themeColor="accent2" w:themeTint="99"/>
        </w:tcBorders>
      </w:tcPr>
    </w:tblStylePr>
    <w:tblStylePr w:type="seCell">
      <w:tblPr/>
      <w:tcPr>
        <w:tcBorders>
          <w:top w:val="single" w:sz="4" w:space="0" w:color="7C49BC" w:themeColor="accent2" w:themeTint="99"/>
        </w:tcBorders>
      </w:tcPr>
    </w:tblStylePr>
    <w:tblStylePr w:type="swCell">
      <w:tblPr/>
      <w:tcPr>
        <w:tcBorders>
          <w:top w:val="single" w:sz="4" w:space="0" w:color="7C49BC" w:themeColor="accent2" w:themeTint="99"/>
        </w:tcBorders>
      </w:tcPr>
    </w:tblStylePr>
  </w:style>
  <w:style w:type="table" w:styleId="GridTable7ColourfulAccent1">
    <w:name w:val="Grid Table 7 Colorful Accent 1"/>
    <w:basedOn w:val="TableNormal"/>
    <w:uiPriority w:val="52"/>
    <w:rsid w:val="00745914"/>
    <w:pPr>
      <w:spacing w:after="0" w:line="240" w:lineRule="auto"/>
    </w:pPr>
    <w:rPr>
      <w:color w:val="5B3161" w:themeColor="accent1" w:themeShade="BF"/>
      <w:sz w:val="18"/>
    </w:rPr>
    <w:tblPr>
      <w:tblStyleRowBandSize w:val="1"/>
      <w:tblStyleColBandSize w:val="1"/>
      <w:tblBorders>
        <w:top w:val="single" w:sz="4" w:space="0" w:color="B781BF" w:themeColor="accent1" w:themeTint="99"/>
        <w:left w:val="single" w:sz="4" w:space="0" w:color="B781BF" w:themeColor="accent1" w:themeTint="99"/>
        <w:bottom w:val="single" w:sz="4" w:space="0" w:color="B781BF" w:themeColor="accent1" w:themeTint="99"/>
        <w:right w:val="single" w:sz="4" w:space="0" w:color="B781BF" w:themeColor="accent1" w:themeTint="99"/>
        <w:insideH w:val="single" w:sz="4" w:space="0" w:color="B781BF" w:themeColor="accent1" w:themeTint="99"/>
        <w:insideV w:val="single" w:sz="4" w:space="0" w:color="B781B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D5E9" w:themeFill="accent1" w:themeFillTint="33"/>
      </w:tcPr>
    </w:tblStylePr>
    <w:tblStylePr w:type="band1Horz">
      <w:tblPr/>
      <w:tcPr>
        <w:shd w:val="clear" w:color="auto" w:fill="E7D5E9" w:themeFill="accent1" w:themeFillTint="33"/>
      </w:tcPr>
    </w:tblStylePr>
    <w:tblStylePr w:type="neCell">
      <w:tblPr/>
      <w:tcPr>
        <w:tcBorders>
          <w:bottom w:val="single" w:sz="4" w:space="0" w:color="B781BF" w:themeColor="accent1" w:themeTint="99"/>
        </w:tcBorders>
      </w:tcPr>
    </w:tblStylePr>
    <w:tblStylePr w:type="nwCell">
      <w:tblPr/>
      <w:tcPr>
        <w:tcBorders>
          <w:bottom w:val="single" w:sz="4" w:space="0" w:color="B781BF" w:themeColor="accent1" w:themeTint="99"/>
        </w:tcBorders>
      </w:tcPr>
    </w:tblStylePr>
    <w:tblStylePr w:type="seCell">
      <w:tblPr/>
      <w:tcPr>
        <w:tcBorders>
          <w:top w:val="single" w:sz="4" w:space="0" w:color="B781BF" w:themeColor="accent1" w:themeTint="99"/>
        </w:tcBorders>
      </w:tcPr>
    </w:tblStylePr>
    <w:tblStylePr w:type="swCell">
      <w:tblPr/>
      <w:tcPr>
        <w:tcBorders>
          <w:top w:val="single" w:sz="4" w:space="0" w:color="B781BF" w:themeColor="accent1" w:themeTint="99"/>
        </w:tcBorders>
      </w:tcPr>
    </w:tblStylePr>
  </w:style>
  <w:style w:type="table" w:styleId="GridTable7Colourful">
    <w:name w:val="Grid Table 7 Colorful"/>
    <w:basedOn w:val="TableNormal"/>
    <w:uiPriority w:val="52"/>
    <w:rsid w:val="00745914"/>
    <w:pPr>
      <w:spacing w:after="0" w:line="240" w:lineRule="auto"/>
    </w:pPr>
    <w:rPr>
      <w:color w:val="000000" w:themeColor="text1"/>
      <w:sz w:val="18"/>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5Dark-Accent5">
    <w:name w:val="Grid Table 5 Dark Accent 5"/>
    <w:basedOn w:val="TableNormal"/>
    <w:uiPriority w:val="50"/>
    <w:rsid w:val="00745914"/>
    <w:pPr>
      <w:spacing w:after="0" w:line="240" w:lineRule="auto"/>
    </w:pPr>
    <w:rPr>
      <w:sz w:val="18"/>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E4E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77B77"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77B77"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77B77"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77B77" w:themeFill="accent5"/>
      </w:tcPr>
    </w:tblStylePr>
    <w:tblStylePr w:type="band1Vert">
      <w:tblPr/>
      <w:tcPr>
        <w:shd w:val="clear" w:color="auto" w:fill="CFC9C8" w:themeFill="accent5" w:themeFillTint="66"/>
      </w:tcPr>
    </w:tblStylePr>
    <w:tblStylePr w:type="band1Horz">
      <w:tblPr/>
      <w:tcPr>
        <w:shd w:val="clear" w:color="auto" w:fill="CFC9C8" w:themeFill="accent5" w:themeFillTint="66"/>
      </w:tcPr>
    </w:tblStylePr>
  </w:style>
  <w:style w:type="table" w:styleId="GridTable5Dark-Accent3">
    <w:name w:val="Grid Table 5 Dark Accent 3"/>
    <w:basedOn w:val="TableNormal"/>
    <w:uiPriority w:val="50"/>
    <w:rsid w:val="00745914"/>
    <w:pPr>
      <w:spacing w:after="0" w:line="240" w:lineRule="auto"/>
    </w:pPr>
    <w:rPr>
      <w:sz w:val="18"/>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ED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7A5F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7A5F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7A5F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7A5FF" w:themeFill="accent3"/>
      </w:tcPr>
    </w:tblStylePr>
    <w:tblStylePr w:type="band1Vert">
      <w:tblPr/>
      <w:tcPr>
        <w:shd w:val="clear" w:color="auto" w:fill="E8DBFF" w:themeFill="accent3" w:themeFillTint="66"/>
      </w:tcPr>
    </w:tblStylePr>
    <w:tblStylePr w:type="band1Horz">
      <w:tblPr/>
      <w:tcPr>
        <w:shd w:val="clear" w:color="auto" w:fill="E8DBFF" w:themeFill="accent3" w:themeFillTint="66"/>
      </w:tcPr>
    </w:tblStylePr>
  </w:style>
  <w:style w:type="table" w:styleId="GridTable5Dark-Accent2">
    <w:name w:val="Grid Table 5 Dark Accent 2"/>
    <w:basedOn w:val="TableNormal"/>
    <w:uiPriority w:val="50"/>
    <w:rsid w:val="00745914"/>
    <w:pPr>
      <w:spacing w:after="0" w:line="240" w:lineRule="auto"/>
    </w:pPr>
    <w:rPr>
      <w:sz w:val="18"/>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C2E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E1A4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E1A4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E1A4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E1A47" w:themeFill="accent2"/>
      </w:tcPr>
    </w:tblStylePr>
    <w:tblStylePr w:type="band1Vert">
      <w:tblPr/>
      <w:tcPr>
        <w:shd w:val="clear" w:color="auto" w:fill="A786D2" w:themeFill="accent2" w:themeFillTint="66"/>
      </w:tcPr>
    </w:tblStylePr>
    <w:tblStylePr w:type="band1Horz">
      <w:tblPr/>
      <w:tcPr>
        <w:shd w:val="clear" w:color="auto" w:fill="A786D2" w:themeFill="accent2" w:themeFillTint="66"/>
      </w:tcPr>
    </w:tblStylePr>
  </w:style>
  <w:style w:type="table" w:styleId="GridTable5Dark">
    <w:name w:val="Grid Table 5 Dark"/>
    <w:basedOn w:val="TableNormal"/>
    <w:uiPriority w:val="50"/>
    <w:rsid w:val="00745914"/>
    <w:pPr>
      <w:spacing w:after="0" w:line="240" w:lineRule="auto"/>
    </w:pPr>
    <w:rPr>
      <w:sz w:val="18"/>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4-Accent4">
    <w:name w:val="Grid Table 4 Accent 4"/>
    <w:basedOn w:val="TableNormal"/>
    <w:uiPriority w:val="49"/>
    <w:rsid w:val="00745914"/>
    <w:pPr>
      <w:spacing w:after="0" w:line="240" w:lineRule="auto"/>
    </w:pPr>
    <w:rPr>
      <w:sz w:val="18"/>
    </w:rPr>
    <w:tblPr>
      <w:tblStyleRowBandSize w:val="1"/>
      <w:tblStyleColBandSize w:val="1"/>
      <w:tblBorders>
        <w:top w:val="single" w:sz="4" w:space="0" w:color="DDB5A9" w:themeColor="accent4" w:themeTint="99"/>
        <w:left w:val="single" w:sz="4" w:space="0" w:color="DDB5A9" w:themeColor="accent4" w:themeTint="99"/>
        <w:bottom w:val="single" w:sz="4" w:space="0" w:color="DDB5A9" w:themeColor="accent4" w:themeTint="99"/>
        <w:right w:val="single" w:sz="4" w:space="0" w:color="DDB5A9" w:themeColor="accent4" w:themeTint="99"/>
        <w:insideH w:val="single" w:sz="4" w:space="0" w:color="DDB5A9" w:themeColor="accent4" w:themeTint="99"/>
        <w:insideV w:val="single" w:sz="4" w:space="0" w:color="DDB5A9" w:themeColor="accent4" w:themeTint="99"/>
      </w:tblBorders>
    </w:tblPr>
    <w:tblStylePr w:type="firstRow">
      <w:rPr>
        <w:b/>
        <w:bCs/>
        <w:color w:val="FFFFFF" w:themeColor="background1"/>
      </w:rPr>
      <w:tblPr/>
      <w:tcPr>
        <w:tcBorders>
          <w:top w:val="single" w:sz="4" w:space="0" w:color="C78570" w:themeColor="accent4"/>
          <w:left w:val="single" w:sz="4" w:space="0" w:color="C78570" w:themeColor="accent4"/>
          <w:bottom w:val="single" w:sz="4" w:space="0" w:color="C78570" w:themeColor="accent4"/>
          <w:right w:val="single" w:sz="4" w:space="0" w:color="C78570" w:themeColor="accent4"/>
          <w:insideH w:val="nil"/>
          <w:insideV w:val="nil"/>
        </w:tcBorders>
        <w:shd w:val="clear" w:color="auto" w:fill="C78570" w:themeFill="accent4"/>
      </w:tcPr>
    </w:tblStylePr>
    <w:tblStylePr w:type="lastRow">
      <w:rPr>
        <w:b/>
        <w:bCs/>
      </w:rPr>
      <w:tblPr/>
      <w:tcPr>
        <w:tcBorders>
          <w:top w:val="double" w:sz="4" w:space="0" w:color="C78570" w:themeColor="accent4"/>
        </w:tcBorders>
      </w:tcPr>
    </w:tblStylePr>
    <w:tblStylePr w:type="firstCol">
      <w:rPr>
        <w:b/>
        <w:bCs/>
      </w:rPr>
    </w:tblStylePr>
    <w:tblStylePr w:type="lastCol">
      <w:rPr>
        <w:b/>
        <w:bCs/>
      </w:rPr>
    </w:tblStylePr>
    <w:tblStylePr w:type="band1Vert">
      <w:tblPr/>
      <w:tcPr>
        <w:shd w:val="clear" w:color="auto" w:fill="F3E6E2" w:themeFill="accent4" w:themeFillTint="33"/>
      </w:tcPr>
    </w:tblStylePr>
    <w:tblStylePr w:type="band1Horz">
      <w:tblPr/>
      <w:tcPr>
        <w:shd w:val="clear" w:color="auto" w:fill="F3E6E2" w:themeFill="accent4" w:themeFillTint="33"/>
      </w:tcPr>
    </w:tblStylePr>
  </w:style>
  <w:style w:type="table" w:styleId="GridTable4-Accent3">
    <w:name w:val="Grid Table 4 Accent 3"/>
    <w:basedOn w:val="TableNormal"/>
    <w:uiPriority w:val="49"/>
    <w:rsid w:val="00745914"/>
    <w:pPr>
      <w:spacing w:after="0" w:line="240" w:lineRule="auto"/>
    </w:pPr>
    <w:rPr>
      <w:sz w:val="18"/>
    </w:rPr>
    <w:tblPr>
      <w:tblStyleRowBandSize w:val="1"/>
      <w:tblStyleColBandSize w:val="1"/>
      <w:tblBorders>
        <w:top w:val="single" w:sz="4" w:space="0" w:color="DDC9FF" w:themeColor="accent3" w:themeTint="99"/>
        <w:left w:val="single" w:sz="4" w:space="0" w:color="DDC9FF" w:themeColor="accent3" w:themeTint="99"/>
        <w:bottom w:val="single" w:sz="4" w:space="0" w:color="DDC9FF" w:themeColor="accent3" w:themeTint="99"/>
        <w:right w:val="single" w:sz="4" w:space="0" w:color="DDC9FF" w:themeColor="accent3" w:themeTint="99"/>
        <w:insideH w:val="single" w:sz="4" w:space="0" w:color="DDC9FF" w:themeColor="accent3" w:themeTint="99"/>
        <w:insideV w:val="single" w:sz="4" w:space="0" w:color="DDC9FF" w:themeColor="accent3" w:themeTint="99"/>
      </w:tblBorders>
    </w:tblPr>
    <w:tblStylePr w:type="firstRow">
      <w:rPr>
        <w:b/>
        <w:bCs/>
        <w:color w:val="FFFFFF" w:themeColor="background1"/>
      </w:rPr>
      <w:tblPr/>
      <w:tcPr>
        <w:tcBorders>
          <w:top w:val="single" w:sz="4" w:space="0" w:color="C7A5FF" w:themeColor="accent3"/>
          <w:left w:val="single" w:sz="4" w:space="0" w:color="C7A5FF" w:themeColor="accent3"/>
          <w:bottom w:val="single" w:sz="4" w:space="0" w:color="C7A5FF" w:themeColor="accent3"/>
          <w:right w:val="single" w:sz="4" w:space="0" w:color="C7A5FF" w:themeColor="accent3"/>
          <w:insideH w:val="nil"/>
          <w:insideV w:val="nil"/>
        </w:tcBorders>
        <w:shd w:val="clear" w:color="auto" w:fill="C7A5FF" w:themeFill="accent3"/>
      </w:tcPr>
    </w:tblStylePr>
    <w:tblStylePr w:type="lastRow">
      <w:rPr>
        <w:b/>
        <w:bCs/>
      </w:rPr>
      <w:tblPr/>
      <w:tcPr>
        <w:tcBorders>
          <w:top w:val="double" w:sz="4" w:space="0" w:color="C7A5FF" w:themeColor="accent3"/>
        </w:tcBorders>
      </w:tcPr>
    </w:tblStylePr>
    <w:tblStylePr w:type="firstCol">
      <w:rPr>
        <w:b/>
        <w:bCs/>
      </w:rPr>
    </w:tblStylePr>
    <w:tblStylePr w:type="lastCol">
      <w:rPr>
        <w:b/>
        <w:bCs/>
      </w:rPr>
    </w:tblStylePr>
    <w:tblStylePr w:type="band1Vert">
      <w:tblPr/>
      <w:tcPr>
        <w:shd w:val="clear" w:color="auto" w:fill="F3EDFF" w:themeFill="accent3" w:themeFillTint="33"/>
      </w:tcPr>
    </w:tblStylePr>
    <w:tblStylePr w:type="band1Horz">
      <w:tblPr/>
      <w:tcPr>
        <w:shd w:val="clear" w:color="auto" w:fill="F3EDFF" w:themeFill="accent3" w:themeFillTint="33"/>
      </w:tcPr>
    </w:tblStylePr>
  </w:style>
  <w:style w:type="table" w:styleId="GridTable4-Accent2">
    <w:name w:val="Grid Table 4 Accent 2"/>
    <w:basedOn w:val="TableNormal"/>
    <w:uiPriority w:val="49"/>
    <w:rsid w:val="00745914"/>
    <w:pPr>
      <w:spacing w:after="0" w:line="240" w:lineRule="auto"/>
    </w:pPr>
    <w:rPr>
      <w:sz w:val="18"/>
    </w:rPr>
    <w:tblPr>
      <w:tblStyleRowBandSize w:val="1"/>
      <w:tblStyleColBandSize w:val="1"/>
      <w:tblBorders>
        <w:top w:val="single" w:sz="4" w:space="0" w:color="7C49BC" w:themeColor="accent2" w:themeTint="99"/>
        <w:left w:val="single" w:sz="4" w:space="0" w:color="7C49BC" w:themeColor="accent2" w:themeTint="99"/>
        <w:bottom w:val="single" w:sz="4" w:space="0" w:color="7C49BC" w:themeColor="accent2" w:themeTint="99"/>
        <w:right w:val="single" w:sz="4" w:space="0" w:color="7C49BC" w:themeColor="accent2" w:themeTint="99"/>
        <w:insideH w:val="single" w:sz="4" w:space="0" w:color="7C49BC" w:themeColor="accent2" w:themeTint="99"/>
        <w:insideV w:val="single" w:sz="4" w:space="0" w:color="7C49BC" w:themeColor="accent2" w:themeTint="99"/>
      </w:tblBorders>
    </w:tblPr>
    <w:tblStylePr w:type="firstRow">
      <w:rPr>
        <w:b/>
        <w:bCs/>
        <w:color w:val="FFFFFF" w:themeColor="background1"/>
      </w:rPr>
      <w:tblPr/>
      <w:tcPr>
        <w:tcBorders>
          <w:top w:val="single" w:sz="4" w:space="0" w:color="2E1A47" w:themeColor="accent2"/>
          <w:left w:val="single" w:sz="4" w:space="0" w:color="2E1A47" w:themeColor="accent2"/>
          <w:bottom w:val="single" w:sz="4" w:space="0" w:color="2E1A47" w:themeColor="accent2"/>
          <w:right w:val="single" w:sz="4" w:space="0" w:color="2E1A47" w:themeColor="accent2"/>
          <w:insideH w:val="nil"/>
          <w:insideV w:val="nil"/>
        </w:tcBorders>
        <w:shd w:val="clear" w:color="auto" w:fill="2E1A47" w:themeFill="accent2"/>
      </w:tcPr>
    </w:tblStylePr>
    <w:tblStylePr w:type="lastRow">
      <w:rPr>
        <w:b/>
        <w:bCs/>
      </w:rPr>
      <w:tblPr/>
      <w:tcPr>
        <w:tcBorders>
          <w:top w:val="double" w:sz="4" w:space="0" w:color="2E1A47" w:themeColor="accent2"/>
        </w:tcBorders>
      </w:tcPr>
    </w:tblStylePr>
    <w:tblStylePr w:type="firstCol">
      <w:rPr>
        <w:b/>
        <w:bCs/>
      </w:rPr>
    </w:tblStylePr>
    <w:tblStylePr w:type="lastCol">
      <w:rPr>
        <w:b/>
        <w:bCs/>
      </w:rPr>
    </w:tblStylePr>
    <w:tblStylePr w:type="band1Vert">
      <w:tblPr/>
      <w:tcPr>
        <w:shd w:val="clear" w:color="auto" w:fill="D3C2E8" w:themeFill="accent2" w:themeFillTint="33"/>
      </w:tcPr>
    </w:tblStylePr>
    <w:tblStylePr w:type="band1Horz">
      <w:tblPr/>
      <w:tcPr>
        <w:shd w:val="clear" w:color="auto" w:fill="D3C2E8" w:themeFill="accent2" w:themeFillTint="33"/>
      </w:tcPr>
    </w:tblStylePr>
  </w:style>
  <w:style w:type="table" w:styleId="GridTable4-Accent1">
    <w:name w:val="Grid Table 4 Accent 1"/>
    <w:basedOn w:val="TableNormal"/>
    <w:uiPriority w:val="49"/>
    <w:rsid w:val="00745914"/>
    <w:pPr>
      <w:spacing w:after="0" w:line="240" w:lineRule="auto"/>
    </w:pPr>
    <w:rPr>
      <w:sz w:val="18"/>
    </w:rPr>
    <w:tblPr>
      <w:tblStyleRowBandSize w:val="1"/>
      <w:tblStyleColBandSize w:val="1"/>
      <w:tblBorders>
        <w:top w:val="single" w:sz="4" w:space="0" w:color="B781BF" w:themeColor="accent1" w:themeTint="99"/>
        <w:left w:val="single" w:sz="4" w:space="0" w:color="B781BF" w:themeColor="accent1" w:themeTint="99"/>
        <w:bottom w:val="single" w:sz="4" w:space="0" w:color="B781BF" w:themeColor="accent1" w:themeTint="99"/>
        <w:right w:val="single" w:sz="4" w:space="0" w:color="B781BF" w:themeColor="accent1" w:themeTint="99"/>
        <w:insideH w:val="single" w:sz="4" w:space="0" w:color="B781BF" w:themeColor="accent1" w:themeTint="99"/>
        <w:insideV w:val="single" w:sz="4" w:space="0" w:color="B781BF" w:themeColor="accent1" w:themeTint="99"/>
      </w:tblBorders>
    </w:tblPr>
    <w:tblStylePr w:type="firstRow">
      <w:rPr>
        <w:b/>
        <w:bCs/>
        <w:color w:val="FFFFFF" w:themeColor="background1"/>
      </w:rPr>
      <w:tblPr/>
      <w:tcPr>
        <w:tcBorders>
          <w:top w:val="single" w:sz="4" w:space="0" w:color="7A4282" w:themeColor="accent1"/>
          <w:left w:val="single" w:sz="4" w:space="0" w:color="7A4282" w:themeColor="accent1"/>
          <w:bottom w:val="single" w:sz="4" w:space="0" w:color="7A4282" w:themeColor="accent1"/>
          <w:right w:val="single" w:sz="4" w:space="0" w:color="7A4282" w:themeColor="accent1"/>
          <w:insideH w:val="nil"/>
          <w:insideV w:val="nil"/>
        </w:tcBorders>
        <w:shd w:val="clear" w:color="auto" w:fill="7A4282" w:themeFill="accent1"/>
      </w:tcPr>
    </w:tblStylePr>
    <w:tblStylePr w:type="lastRow">
      <w:rPr>
        <w:b/>
        <w:bCs/>
      </w:rPr>
      <w:tblPr/>
      <w:tcPr>
        <w:tcBorders>
          <w:top w:val="double" w:sz="4" w:space="0" w:color="7A4282" w:themeColor="accent1"/>
        </w:tcBorders>
      </w:tcPr>
    </w:tblStylePr>
    <w:tblStylePr w:type="firstCol">
      <w:rPr>
        <w:b/>
        <w:bCs/>
      </w:rPr>
    </w:tblStylePr>
    <w:tblStylePr w:type="lastCol">
      <w:rPr>
        <w:b/>
        <w:bCs/>
      </w:rPr>
    </w:tblStylePr>
    <w:tblStylePr w:type="band1Vert">
      <w:tblPr/>
      <w:tcPr>
        <w:shd w:val="clear" w:color="auto" w:fill="E7D5E9" w:themeFill="accent1" w:themeFillTint="33"/>
      </w:tcPr>
    </w:tblStylePr>
    <w:tblStylePr w:type="band1Horz">
      <w:tblPr/>
      <w:tcPr>
        <w:shd w:val="clear" w:color="auto" w:fill="E7D5E9" w:themeFill="accent1" w:themeFillTint="33"/>
      </w:tcPr>
    </w:tblStylePr>
  </w:style>
  <w:style w:type="table" w:styleId="GridTable4">
    <w:name w:val="Grid Table 4"/>
    <w:basedOn w:val="TableNormal"/>
    <w:uiPriority w:val="49"/>
    <w:rsid w:val="00673420"/>
    <w:pPr>
      <w:spacing w:after="0" w:line="240" w:lineRule="auto"/>
    </w:pPr>
    <w:rPr>
      <w:sz w:val="18"/>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Accent2">
    <w:name w:val="Grid Table 3 Accent 2"/>
    <w:basedOn w:val="TableNormal"/>
    <w:uiPriority w:val="48"/>
    <w:rsid w:val="00A350E1"/>
    <w:pPr>
      <w:spacing w:after="0" w:line="240" w:lineRule="auto"/>
    </w:pPr>
    <w:rPr>
      <w:sz w:val="18"/>
    </w:rPr>
    <w:tblPr>
      <w:tblStyleRowBandSize w:val="1"/>
      <w:tblStyleColBandSize w:val="1"/>
      <w:tblBorders>
        <w:top w:val="single" w:sz="4" w:space="0" w:color="7C49BC" w:themeColor="accent2" w:themeTint="99"/>
        <w:left w:val="single" w:sz="4" w:space="0" w:color="7C49BC" w:themeColor="accent2" w:themeTint="99"/>
        <w:bottom w:val="single" w:sz="4" w:space="0" w:color="7C49BC" w:themeColor="accent2" w:themeTint="99"/>
        <w:right w:val="single" w:sz="4" w:space="0" w:color="7C49BC" w:themeColor="accent2" w:themeTint="99"/>
        <w:insideH w:val="single" w:sz="4" w:space="0" w:color="7C49BC" w:themeColor="accent2" w:themeTint="99"/>
        <w:insideV w:val="single" w:sz="4" w:space="0" w:color="7C49B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C2E8" w:themeFill="accent2" w:themeFillTint="33"/>
      </w:tcPr>
    </w:tblStylePr>
    <w:tblStylePr w:type="band1Horz">
      <w:tblPr/>
      <w:tcPr>
        <w:shd w:val="clear" w:color="auto" w:fill="D3C2E8" w:themeFill="accent2" w:themeFillTint="33"/>
      </w:tcPr>
    </w:tblStylePr>
    <w:tblStylePr w:type="neCell">
      <w:tblPr/>
      <w:tcPr>
        <w:tcBorders>
          <w:bottom w:val="single" w:sz="4" w:space="0" w:color="7C49BC" w:themeColor="accent2" w:themeTint="99"/>
        </w:tcBorders>
      </w:tcPr>
    </w:tblStylePr>
    <w:tblStylePr w:type="nwCell">
      <w:tblPr/>
      <w:tcPr>
        <w:tcBorders>
          <w:bottom w:val="single" w:sz="4" w:space="0" w:color="7C49BC" w:themeColor="accent2" w:themeTint="99"/>
        </w:tcBorders>
      </w:tcPr>
    </w:tblStylePr>
    <w:tblStylePr w:type="seCell">
      <w:tblPr/>
      <w:tcPr>
        <w:tcBorders>
          <w:top w:val="single" w:sz="4" w:space="0" w:color="7C49BC" w:themeColor="accent2" w:themeTint="99"/>
        </w:tcBorders>
      </w:tcPr>
    </w:tblStylePr>
    <w:tblStylePr w:type="swCell">
      <w:tblPr/>
      <w:tcPr>
        <w:tcBorders>
          <w:top w:val="single" w:sz="4" w:space="0" w:color="7C49BC" w:themeColor="accent2" w:themeTint="99"/>
        </w:tcBorders>
      </w:tcPr>
    </w:tblStylePr>
  </w:style>
  <w:style w:type="table" w:styleId="GridTable3-Accent1">
    <w:name w:val="Grid Table 3 Accent 1"/>
    <w:basedOn w:val="TableNormal"/>
    <w:uiPriority w:val="48"/>
    <w:rsid w:val="00A350E1"/>
    <w:pPr>
      <w:spacing w:after="0" w:line="240" w:lineRule="auto"/>
    </w:pPr>
    <w:rPr>
      <w:sz w:val="18"/>
    </w:rPr>
    <w:tblPr>
      <w:tblStyleRowBandSize w:val="1"/>
      <w:tblStyleColBandSize w:val="1"/>
      <w:tblBorders>
        <w:top w:val="single" w:sz="4" w:space="0" w:color="B781BF" w:themeColor="accent1" w:themeTint="99"/>
        <w:left w:val="single" w:sz="4" w:space="0" w:color="B781BF" w:themeColor="accent1" w:themeTint="99"/>
        <w:bottom w:val="single" w:sz="4" w:space="0" w:color="B781BF" w:themeColor="accent1" w:themeTint="99"/>
        <w:right w:val="single" w:sz="4" w:space="0" w:color="B781BF" w:themeColor="accent1" w:themeTint="99"/>
        <w:insideH w:val="single" w:sz="4" w:space="0" w:color="B781BF" w:themeColor="accent1" w:themeTint="99"/>
        <w:insideV w:val="single" w:sz="4" w:space="0" w:color="B781B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D5E9" w:themeFill="accent1" w:themeFillTint="33"/>
      </w:tcPr>
    </w:tblStylePr>
    <w:tblStylePr w:type="band1Horz">
      <w:tblPr/>
      <w:tcPr>
        <w:shd w:val="clear" w:color="auto" w:fill="E7D5E9" w:themeFill="accent1" w:themeFillTint="33"/>
      </w:tcPr>
    </w:tblStylePr>
    <w:tblStylePr w:type="neCell">
      <w:tblPr/>
      <w:tcPr>
        <w:tcBorders>
          <w:bottom w:val="single" w:sz="4" w:space="0" w:color="B781BF" w:themeColor="accent1" w:themeTint="99"/>
        </w:tcBorders>
      </w:tcPr>
    </w:tblStylePr>
    <w:tblStylePr w:type="nwCell">
      <w:tblPr/>
      <w:tcPr>
        <w:tcBorders>
          <w:bottom w:val="single" w:sz="4" w:space="0" w:color="B781BF" w:themeColor="accent1" w:themeTint="99"/>
        </w:tcBorders>
      </w:tcPr>
    </w:tblStylePr>
    <w:tblStylePr w:type="seCell">
      <w:tblPr/>
      <w:tcPr>
        <w:tcBorders>
          <w:top w:val="single" w:sz="4" w:space="0" w:color="B781BF" w:themeColor="accent1" w:themeTint="99"/>
        </w:tcBorders>
      </w:tcPr>
    </w:tblStylePr>
    <w:tblStylePr w:type="swCell">
      <w:tblPr/>
      <w:tcPr>
        <w:tcBorders>
          <w:top w:val="single" w:sz="4" w:space="0" w:color="B781BF" w:themeColor="accent1" w:themeTint="99"/>
        </w:tcBorders>
      </w:tcPr>
    </w:tblStylePr>
  </w:style>
  <w:style w:type="table" w:styleId="GridTable3">
    <w:name w:val="Grid Table 3"/>
    <w:basedOn w:val="TableNormal"/>
    <w:uiPriority w:val="48"/>
    <w:rsid w:val="00A350E1"/>
    <w:pPr>
      <w:spacing w:after="0" w:line="240" w:lineRule="auto"/>
    </w:pPr>
    <w:rPr>
      <w:sz w:val="18"/>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2-Accent5">
    <w:name w:val="Grid Table 2 Accent 5"/>
    <w:basedOn w:val="TableNormal"/>
    <w:uiPriority w:val="47"/>
    <w:rsid w:val="00A350E1"/>
    <w:pPr>
      <w:spacing w:after="0" w:line="240" w:lineRule="auto"/>
    </w:pPr>
    <w:rPr>
      <w:sz w:val="18"/>
    </w:rPr>
    <w:tblPr>
      <w:tblStyleRowBandSize w:val="1"/>
      <w:tblStyleColBandSize w:val="1"/>
      <w:tblBorders>
        <w:top w:val="single" w:sz="2" w:space="0" w:color="B7AFAD" w:themeColor="accent5" w:themeTint="99"/>
        <w:bottom w:val="single" w:sz="2" w:space="0" w:color="B7AFAD" w:themeColor="accent5" w:themeTint="99"/>
        <w:insideH w:val="single" w:sz="2" w:space="0" w:color="B7AFAD" w:themeColor="accent5" w:themeTint="99"/>
        <w:insideV w:val="single" w:sz="2" w:space="0" w:color="B7AFAD" w:themeColor="accent5" w:themeTint="99"/>
      </w:tblBorders>
    </w:tblPr>
    <w:tblStylePr w:type="firstRow">
      <w:rPr>
        <w:b/>
        <w:bCs/>
      </w:rPr>
      <w:tblPr/>
      <w:tcPr>
        <w:tcBorders>
          <w:top w:val="nil"/>
          <w:bottom w:val="single" w:sz="12" w:space="0" w:color="B7AFAD" w:themeColor="accent5" w:themeTint="99"/>
          <w:insideH w:val="nil"/>
          <w:insideV w:val="nil"/>
        </w:tcBorders>
        <w:shd w:val="clear" w:color="auto" w:fill="FFFFFF" w:themeFill="background1"/>
      </w:tcPr>
    </w:tblStylePr>
    <w:tblStylePr w:type="lastRow">
      <w:rPr>
        <w:b/>
        <w:bCs/>
      </w:rPr>
      <w:tblPr/>
      <w:tcPr>
        <w:tcBorders>
          <w:top w:val="double" w:sz="2" w:space="0" w:color="B7AFA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E4E3" w:themeFill="accent5" w:themeFillTint="33"/>
      </w:tcPr>
    </w:tblStylePr>
    <w:tblStylePr w:type="band1Horz">
      <w:tblPr/>
      <w:tcPr>
        <w:shd w:val="clear" w:color="auto" w:fill="E7E4E3" w:themeFill="accent5" w:themeFillTint="33"/>
      </w:tcPr>
    </w:tblStylePr>
  </w:style>
  <w:style w:type="table" w:styleId="GridTable2-Accent4">
    <w:name w:val="Grid Table 2 Accent 4"/>
    <w:basedOn w:val="TableNormal"/>
    <w:uiPriority w:val="47"/>
    <w:rsid w:val="00A350E1"/>
    <w:pPr>
      <w:spacing w:after="0" w:line="240" w:lineRule="auto"/>
    </w:pPr>
    <w:rPr>
      <w:sz w:val="18"/>
    </w:rPr>
    <w:tblPr>
      <w:tblStyleRowBandSize w:val="1"/>
      <w:tblStyleColBandSize w:val="1"/>
      <w:tblBorders>
        <w:top w:val="single" w:sz="2" w:space="0" w:color="DDB5A9" w:themeColor="accent4" w:themeTint="99"/>
        <w:bottom w:val="single" w:sz="2" w:space="0" w:color="DDB5A9" w:themeColor="accent4" w:themeTint="99"/>
        <w:insideH w:val="single" w:sz="2" w:space="0" w:color="DDB5A9" w:themeColor="accent4" w:themeTint="99"/>
        <w:insideV w:val="single" w:sz="2" w:space="0" w:color="DDB5A9" w:themeColor="accent4" w:themeTint="99"/>
      </w:tblBorders>
    </w:tblPr>
    <w:tblStylePr w:type="firstRow">
      <w:rPr>
        <w:b/>
        <w:bCs/>
      </w:rPr>
      <w:tblPr/>
      <w:tcPr>
        <w:tcBorders>
          <w:top w:val="nil"/>
          <w:bottom w:val="single" w:sz="12" w:space="0" w:color="DDB5A9" w:themeColor="accent4" w:themeTint="99"/>
          <w:insideH w:val="nil"/>
          <w:insideV w:val="nil"/>
        </w:tcBorders>
        <w:shd w:val="clear" w:color="auto" w:fill="FFFFFF" w:themeFill="background1"/>
      </w:tcPr>
    </w:tblStylePr>
    <w:tblStylePr w:type="lastRow">
      <w:rPr>
        <w:b/>
        <w:bCs/>
      </w:rPr>
      <w:tblPr/>
      <w:tcPr>
        <w:tcBorders>
          <w:top w:val="double" w:sz="2" w:space="0" w:color="DDB5A9"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E6E2" w:themeFill="accent4" w:themeFillTint="33"/>
      </w:tcPr>
    </w:tblStylePr>
    <w:tblStylePr w:type="band1Horz">
      <w:tblPr/>
      <w:tcPr>
        <w:shd w:val="clear" w:color="auto" w:fill="F3E6E2" w:themeFill="accent4" w:themeFillTint="33"/>
      </w:tcPr>
    </w:tblStylePr>
  </w:style>
  <w:style w:type="table" w:styleId="GridTable2-Accent3">
    <w:name w:val="Grid Table 2 Accent 3"/>
    <w:basedOn w:val="TableNormal"/>
    <w:uiPriority w:val="47"/>
    <w:rsid w:val="00A350E1"/>
    <w:pPr>
      <w:spacing w:after="0" w:line="240" w:lineRule="auto"/>
    </w:pPr>
    <w:rPr>
      <w:sz w:val="18"/>
    </w:rPr>
    <w:tblPr>
      <w:tblStyleRowBandSize w:val="1"/>
      <w:tblStyleColBandSize w:val="1"/>
      <w:tblBorders>
        <w:top w:val="single" w:sz="2" w:space="0" w:color="DDC9FF" w:themeColor="accent3" w:themeTint="99"/>
        <w:bottom w:val="single" w:sz="2" w:space="0" w:color="DDC9FF" w:themeColor="accent3" w:themeTint="99"/>
        <w:insideH w:val="single" w:sz="2" w:space="0" w:color="DDC9FF" w:themeColor="accent3" w:themeTint="99"/>
        <w:insideV w:val="single" w:sz="2" w:space="0" w:color="DDC9FF" w:themeColor="accent3" w:themeTint="99"/>
      </w:tblBorders>
    </w:tblPr>
    <w:tblStylePr w:type="firstRow">
      <w:rPr>
        <w:b/>
        <w:bCs/>
      </w:rPr>
      <w:tblPr/>
      <w:tcPr>
        <w:tcBorders>
          <w:top w:val="nil"/>
          <w:bottom w:val="single" w:sz="12" w:space="0" w:color="DDC9FF" w:themeColor="accent3" w:themeTint="99"/>
          <w:insideH w:val="nil"/>
          <w:insideV w:val="nil"/>
        </w:tcBorders>
        <w:shd w:val="clear" w:color="auto" w:fill="FFFFFF" w:themeFill="background1"/>
      </w:tcPr>
    </w:tblStylePr>
    <w:tblStylePr w:type="lastRow">
      <w:rPr>
        <w:b/>
        <w:bCs/>
      </w:rPr>
      <w:tblPr/>
      <w:tcPr>
        <w:tcBorders>
          <w:top w:val="double" w:sz="2" w:space="0" w:color="DDC9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EDFF" w:themeFill="accent3" w:themeFillTint="33"/>
      </w:tcPr>
    </w:tblStylePr>
    <w:tblStylePr w:type="band1Horz">
      <w:tblPr/>
      <w:tcPr>
        <w:shd w:val="clear" w:color="auto" w:fill="F3EDFF" w:themeFill="accent3" w:themeFillTint="33"/>
      </w:tcPr>
    </w:tblStylePr>
  </w:style>
  <w:style w:type="table" w:styleId="GridTable2-Accent2">
    <w:name w:val="Grid Table 2 Accent 2"/>
    <w:basedOn w:val="TableNormal"/>
    <w:uiPriority w:val="47"/>
    <w:rsid w:val="00A350E1"/>
    <w:pPr>
      <w:spacing w:after="0" w:line="240" w:lineRule="auto"/>
    </w:pPr>
    <w:rPr>
      <w:sz w:val="18"/>
    </w:rPr>
    <w:tblPr>
      <w:tblStyleRowBandSize w:val="1"/>
      <w:tblStyleColBandSize w:val="1"/>
      <w:tblBorders>
        <w:top w:val="single" w:sz="2" w:space="0" w:color="7C49BC" w:themeColor="accent2" w:themeTint="99"/>
        <w:bottom w:val="single" w:sz="2" w:space="0" w:color="7C49BC" w:themeColor="accent2" w:themeTint="99"/>
        <w:insideH w:val="single" w:sz="2" w:space="0" w:color="7C49BC" w:themeColor="accent2" w:themeTint="99"/>
        <w:insideV w:val="single" w:sz="2" w:space="0" w:color="7C49BC" w:themeColor="accent2" w:themeTint="99"/>
      </w:tblBorders>
    </w:tblPr>
    <w:tblStylePr w:type="firstRow">
      <w:rPr>
        <w:b/>
        <w:bCs/>
      </w:rPr>
      <w:tblPr/>
      <w:tcPr>
        <w:tcBorders>
          <w:top w:val="nil"/>
          <w:bottom w:val="single" w:sz="12" w:space="0" w:color="7C49BC" w:themeColor="accent2" w:themeTint="99"/>
          <w:insideH w:val="nil"/>
          <w:insideV w:val="nil"/>
        </w:tcBorders>
        <w:shd w:val="clear" w:color="auto" w:fill="FFFFFF" w:themeFill="background1"/>
      </w:tcPr>
    </w:tblStylePr>
    <w:tblStylePr w:type="lastRow">
      <w:rPr>
        <w:b/>
        <w:bCs/>
      </w:rPr>
      <w:tblPr/>
      <w:tcPr>
        <w:tcBorders>
          <w:top w:val="double" w:sz="2" w:space="0" w:color="7C49BC"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C2E8" w:themeFill="accent2" w:themeFillTint="33"/>
      </w:tcPr>
    </w:tblStylePr>
    <w:tblStylePr w:type="band1Horz">
      <w:tblPr/>
      <w:tcPr>
        <w:shd w:val="clear" w:color="auto" w:fill="D3C2E8" w:themeFill="accent2" w:themeFillTint="33"/>
      </w:tcPr>
    </w:tblStylePr>
  </w:style>
  <w:style w:type="table" w:styleId="GridTable2-Accent1">
    <w:name w:val="Grid Table 2 Accent 1"/>
    <w:basedOn w:val="TableNormal"/>
    <w:uiPriority w:val="47"/>
    <w:rsid w:val="00A350E1"/>
    <w:pPr>
      <w:spacing w:after="0" w:line="240" w:lineRule="auto"/>
    </w:pPr>
    <w:rPr>
      <w:sz w:val="18"/>
    </w:rPr>
    <w:tblPr>
      <w:tblStyleRowBandSize w:val="1"/>
      <w:tblStyleColBandSize w:val="1"/>
      <w:tblBorders>
        <w:top w:val="single" w:sz="2" w:space="0" w:color="B781BF" w:themeColor="accent1" w:themeTint="99"/>
        <w:bottom w:val="single" w:sz="2" w:space="0" w:color="B781BF" w:themeColor="accent1" w:themeTint="99"/>
        <w:insideH w:val="single" w:sz="2" w:space="0" w:color="B781BF" w:themeColor="accent1" w:themeTint="99"/>
        <w:insideV w:val="single" w:sz="2" w:space="0" w:color="B781BF" w:themeColor="accent1" w:themeTint="99"/>
      </w:tblBorders>
    </w:tblPr>
    <w:tblStylePr w:type="firstRow">
      <w:rPr>
        <w:b/>
        <w:bCs/>
      </w:rPr>
      <w:tblPr/>
      <w:tcPr>
        <w:tcBorders>
          <w:top w:val="nil"/>
          <w:bottom w:val="single" w:sz="12" w:space="0" w:color="B781BF" w:themeColor="accent1" w:themeTint="99"/>
          <w:insideH w:val="nil"/>
          <w:insideV w:val="nil"/>
        </w:tcBorders>
        <w:shd w:val="clear" w:color="auto" w:fill="FFFFFF" w:themeFill="background1"/>
      </w:tcPr>
    </w:tblStylePr>
    <w:tblStylePr w:type="lastRow">
      <w:rPr>
        <w:b/>
        <w:bCs/>
      </w:rPr>
      <w:tblPr/>
      <w:tcPr>
        <w:tcBorders>
          <w:top w:val="double" w:sz="2" w:space="0" w:color="B781B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D5E9" w:themeFill="accent1" w:themeFillTint="33"/>
      </w:tcPr>
    </w:tblStylePr>
    <w:tblStylePr w:type="band1Horz">
      <w:tblPr/>
      <w:tcPr>
        <w:shd w:val="clear" w:color="auto" w:fill="E7D5E9" w:themeFill="accent1" w:themeFillTint="33"/>
      </w:tcPr>
    </w:tblStylePr>
  </w:style>
  <w:style w:type="table" w:styleId="GridTable2">
    <w:name w:val="Grid Table 2"/>
    <w:basedOn w:val="TableNormal"/>
    <w:uiPriority w:val="47"/>
    <w:rsid w:val="001E09CE"/>
    <w:pPr>
      <w:spacing w:after="0" w:line="240" w:lineRule="auto"/>
    </w:pPr>
    <w:rPr>
      <w:sz w:val="18"/>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5">
    <w:name w:val="Grid Table 1 Light Accent 5"/>
    <w:basedOn w:val="TableNormal"/>
    <w:uiPriority w:val="46"/>
    <w:rsid w:val="001E09CE"/>
    <w:pPr>
      <w:spacing w:after="0" w:line="240" w:lineRule="auto"/>
    </w:pPr>
    <w:rPr>
      <w:sz w:val="18"/>
    </w:rPr>
    <w:tblPr>
      <w:tblStyleRowBandSize w:val="1"/>
      <w:tblStyleColBandSize w:val="1"/>
      <w:tblBorders>
        <w:top w:val="single" w:sz="4" w:space="0" w:color="CFC9C8" w:themeColor="accent5" w:themeTint="66"/>
        <w:left w:val="single" w:sz="4" w:space="0" w:color="CFC9C8" w:themeColor="accent5" w:themeTint="66"/>
        <w:bottom w:val="single" w:sz="4" w:space="0" w:color="CFC9C8" w:themeColor="accent5" w:themeTint="66"/>
        <w:right w:val="single" w:sz="4" w:space="0" w:color="CFC9C8" w:themeColor="accent5" w:themeTint="66"/>
        <w:insideH w:val="single" w:sz="4" w:space="0" w:color="CFC9C8" w:themeColor="accent5" w:themeTint="66"/>
        <w:insideV w:val="single" w:sz="4" w:space="0" w:color="CFC9C8" w:themeColor="accent5" w:themeTint="66"/>
      </w:tblBorders>
    </w:tblPr>
    <w:tblStylePr w:type="firstRow">
      <w:rPr>
        <w:b/>
        <w:bCs/>
      </w:rPr>
      <w:tblPr/>
      <w:tcPr>
        <w:tcBorders>
          <w:bottom w:val="single" w:sz="12" w:space="0" w:color="B7AFAD" w:themeColor="accent5" w:themeTint="99"/>
        </w:tcBorders>
      </w:tcPr>
    </w:tblStylePr>
    <w:tblStylePr w:type="lastRow">
      <w:rPr>
        <w:b/>
        <w:bCs/>
      </w:rPr>
      <w:tblPr/>
      <w:tcPr>
        <w:tcBorders>
          <w:top w:val="double" w:sz="2" w:space="0" w:color="B7AFAD"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E09CE"/>
    <w:pPr>
      <w:spacing w:after="0" w:line="240" w:lineRule="auto"/>
    </w:pPr>
    <w:rPr>
      <w:sz w:val="18"/>
    </w:rPr>
    <w:tblPr>
      <w:tblStyleRowBandSize w:val="1"/>
      <w:tblStyleColBandSize w:val="1"/>
      <w:tblBorders>
        <w:top w:val="single" w:sz="4" w:space="0" w:color="E8CEC5" w:themeColor="accent4" w:themeTint="66"/>
        <w:left w:val="single" w:sz="4" w:space="0" w:color="E8CEC5" w:themeColor="accent4" w:themeTint="66"/>
        <w:bottom w:val="single" w:sz="4" w:space="0" w:color="E8CEC5" w:themeColor="accent4" w:themeTint="66"/>
        <w:right w:val="single" w:sz="4" w:space="0" w:color="E8CEC5" w:themeColor="accent4" w:themeTint="66"/>
        <w:insideH w:val="single" w:sz="4" w:space="0" w:color="E8CEC5" w:themeColor="accent4" w:themeTint="66"/>
        <w:insideV w:val="single" w:sz="4" w:space="0" w:color="E8CEC5" w:themeColor="accent4" w:themeTint="66"/>
      </w:tblBorders>
    </w:tblPr>
    <w:tblStylePr w:type="firstRow">
      <w:rPr>
        <w:b/>
        <w:bCs/>
      </w:rPr>
      <w:tblPr/>
      <w:tcPr>
        <w:tcBorders>
          <w:bottom w:val="single" w:sz="12" w:space="0" w:color="DDB5A9" w:themeColor="accent4" w:themeTint="99"/>
        </w:tcBorders>
      </w:tcPr>
    </w:tblStylePr>
    <w:tblStylePr w:type="lastRow">
      <w:rPr>
        <w:b/>
        <w:bCs/>
      </w:rPr>
      <w:tblPr/>
      <w:tcPr>
        <w:tcBorders>
          <w:top w:val="double" w:sz="2" w:space="0" w:color="DDB5A9" w:themeColor="accent4"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E09CE"/>
    <w:pPr>
      <w:spacing w:after="0" w:line="240" w:lineRule="auto"/>
    </w:pPr>
    <w:rPr>
      <w:sz w:val="18"/>
    </w:rPr>
    <w:tblPr>
      <w:tblStyleRowBandSize w:val="1"/>
      <w:tblStyleColBandSize w:val="1"/>
      <w:tblBorders>
        <w:top w:val="single" w:sz="4" w:space="0" w:color="E8DBFF" w:themeColor="accent3" w:themeTint="66"/>
        <w:left w:val="single" w:sz="4" w:space="0" w:color="E8DBFF" w:themeColor="accent3" w:themeTint="66"/>
        <w:bottom w:val="single" w:sz="4" w:space="0" w:color="E8DBFF" w:themeColor="accent3" w:themeTint="66"/>
        <w:right w:val="single" w:sz="4" w:space="0" w:color="E8DBFF" w:themeColor="accent3" w:themeTint="66"/>
        <w:insideH w:val="single" w:sz="4" w:space="0" w:color="E8DBFF" w:themeColor="accent3" w:themeTint="66"/>
        <w:insideV w:val="single" w:sz="4" w:space="0" w:color="E8DBFF" w:themeColor="accent3" w:themeTint="66"/>
      </w:tblBorders>
    </w:tblPr>
    <w:tblStylePr w:type="firstRow">
      <w:rPr>
        <w:b/>
        <w:bCs/>
      </w:rPr>
      <w:tblPr/>
      <w:tcPr>
        <w:tcBorders>
          <w:bottom w:val="single" w:sz="12" w:space="0" w:color="DDC9FF" w:themeColor="accent3" w:themeTint="99"/>
        </w:tcBorders>
      </w:tcPr>
    </w:tblStylePr>
    <w:tblStylePr w:type="lastRow">
      <w:rPr>
        <w:b/>
        <w:bCs/>
      </w:rPr>
      <w:tblPr/>
      <w:tcPr>
        <w:tcBorders>
          <w:top w:val="double" w:sz="2" w:space="0" w:color="DDC9FF" w:themeColor="accent3"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E09CE"/>
    <w:pPr>
      <w:spacing w:after="0" w:line="240" w:lineRule="auto"/>
    </w:pPr>
    <w:rPr>
      <w:sz w:val="18"/>
    </w:rPr>
    <w:tblPr>
      <w:tblStyleRowBandSize w:val="1"/>
      <w:tblStyleColBandSize w:val="1"/>
      <w:tblBorders>
        <w:top w:val="single" w:sz="4" w:space="0" w:color="A786D2" w:themeColor="accent2" w:themeTint="66"/>
        <w:left w:val="single" w:sz="4" w:space="0" w:color="A786D2" w:themeColor="accent2" w:themeTint="66"/>
        <w:bottom w:val="single" w:sz="4" w:space="0" w:color="A786D2" w:themeColor="accent2" w:themeTint="66"/>
        <w:right w:val="single" w:sz="4" w:space="0" w:color="A786D2" w:themeColor="accent2" w:themeTint="66"/>
        <w:insideH w:val="single" w:sz="4" w:space="0" w:color="A786D2" w:themeColor="accent2" w:themeTint="66"/>
        <w:insideV w:val="single" w:sz="4" w:space="0" w:color="A786D2" w:themeColor="accent2" w:themeTint="66"/>
      </w:tblBorders>
    </w:tblPr>
    <w:tblStylePr w:type="firstRow">
      <w:rPr>
        <w:b/>
        <w:bCs/>
      </w:rPr>
      <w:tblPr/>
      <w:tcPr>
        <w:tcBorders>
          <w:bottom w:val="single" w:sz="12" w:space="0" w:color="7C49BC" w:themeColor="accent2" w:themeTint="99"/>
        </w:tcBorders>
      </w:tcPr>
    </w:tblStylePr>
    <w:tblStylePr w:type="lastRow">
      <w:rPr>
        <w:b/>
        <w:bCs/>
      </w:rPr>
      <w:tblPr/>
      <w:tcPr>
        <w:tcBorders>
          <w:top w:val="double" w:sz="2" w:space="0" w:color="7C49BC" w:themeColor="accent2" w:themeTint="99"/>
        </w:tcBorders>
      </w:tcPr>
    </w:tblStylePr>
    <w:tblStylePr w:type="firstCol">
      <w:rPr>
        <w:b/>
        <w:bCs/>
      </w:rPr>
    </w:tblStylePr>
    <w:tblStylePr w:type="lastCol">
      <w:rPr>
        <w:b/>
        <w:bCs/>
      </w:rPr>
    </w:tblStylePr>
  </w:style>
  <w:style w:type="character" w:customStyle="1" w:styleId="normaltextrun">
    <w:name w:val="normaltextrun"/>
    <w:basedOn w:val="DefaultParagraphFont"/>
    <w:rsid w:val="00553498"/>
    <w:rPr>
      <w:rFonts w:asciiTheme="minorHAnsi" w:eastAsiaTheme="minorEastAsia" w:hAnsiTheme="minorHAnsi" w:cstheme="minorBidi"/>
      <w:sz w:val="22"/>
      <w:szCs w:val="22"/>
    </w:rPr>
  </w:style>
  <w:style w:type="paragraph" w:styleId="Revision">
    <w:name w:val="Revision"/>
    <w:hidden/>
    <w:uiPriority w:val="99"/>
    <w:semiHidden/>
    <w:rsid w:val="00B071C9"/>
    <w:pPr>
      <w:spacing w:after="0" w:line="240" w:lineRule="auto"/>
    </w:pPr>
  </w:style>
  <w:style w:type="character" w:customStyle="1" w:styleId="IntrocopyChar">
    <w:name w:val="Intro copy Char"/>
    <w:basedOn w:val="DefaultParagraphFont"/>
    <w:link w:val="Introcopy"/>
    <w:uiPriority w:val="1"/>
    <w:rsid w:val="008346EB"/>
    <w:rPr>
      <w:color w:val="2E1A47" w:themeColor="text2"/>
      <w:sz w:val="32"/>
      <w:szCs w:val="32"/>
    </w:rPr>
  </w:style>
  <w:style w:type="character" w:styleId="Hyperlink">
    <w:name w:val="Hyperlink"/>
    <w:basedOn w:val="DefaultParagraphFont"/>
    <w:uiPriority w:val="99"/>
    <w:unhideWhenUsed/>
    <w:rsid w:val="00203A43"/>
    <w:rPr>
      <w:color w:val="2E1A47" w:themeColor="hyperlink"/>
      <w:u w:val="single"/>
    </w:rPr>
  </w:style>
  <w:style w:type="character" w:styleId="UnresolvedMention">
    <w:name w:val="Unresolved Mention"/>
    <w:basedOn w:val="DefaultParagraphFont"/>
    <w:uiPriority w:val="99"/>
    <w:semiHidden/>
    <w:unhideWhenUsed/>
    <w:rsid w:val="00203A43"/>
    <w:rPr>
      <w:color w:val="605E5C"/>
      <w:shd w:val="clear" w:color="auto" w:fill="E1DFDD"/>
    </w:rPr>
  </w:style>
  <w:style w:type="character" w:styleId="FollowedHyperlink">
    <w:name w:val="FollowedHyperlink"/>
    <w:basedOn w:val="DefaultParagraphFont"/>
    <w:uiPriority w:val="99"/>
    <w:semiHidden/>
    <w:unhideWhenUsed/>
    <w:rsid w:val="009D79AD"/>
    <w:rPr>
      <w:color w:val="2E1A47" w:themeColor="followedHyperlink"/>
      <w:u w:val="single"/>
    </w:rPr>
  </w:style>
  <w:style w:type="paragraph" w:styleId="NormalWeb">
    <w:name w:val="Normal (Web)"/>
    <w:basedOn w:val="Normal"/>
    <w:uiPriority w:val="99"/>
    <w:semiHidden/>
    <w:unhideWhenUsed/>
    <w:rsid w:val="0013013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273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ustrade.gov.au/en/news-and-analysis/publications-and-reports/exploring-australia-reference-for-tour-guides" TargetMode="External"/><Relationship Id="rId18" Type="http://schemas.openxmlformats.org/officeDocument/2006/relationships/hyperlink" Target="https://www.trademinister.gov.au/minister/don-farrell/media-release/getting-more-aussies-road-red-centre" TargetMode="External"/><Relationship Id="rId26" Type="http://schemas.openxmlformats.org/officeDocument/2006/relationships/hyperlink" Target="https://www.infrastructure.gov.au/infrastructure-transport-vehicles/aviation/aviation-consumer-ombuds-scheme/australian-air-passenger-travel-guide" TargetMode="External"/><Relationship Id="rId39" Type="http://schemas.openxmlformats.org/officeDocument/2006/relationships/hyperlink" Target="https://arena.gov.au/funding/future-made-in-australia-innovation-fund/" TargetMode="External"/><Relationship Id="rId21" Type="http://schemas.openxmlformats.org/officeDocument/2006/relationships/hyperlink" Target="https://www.arts.gov.au/funding-and-support/festivals-australia" TargetMode="External"/><Relationship Id="rId34" Type="http://schemas.openxmlformats.org/officeDocument/2006/relationships/hyperlink" Target="https://business.gov.au/expertise-and-advice/digital-solutions-australian-small-business-advisory-services" TargetMode="External"/><Relationship Id="rId42" Type="http://schemas.openxmlformats.org/officeDocument/2006/relationships/hyperlink" Target="https://www.health.gov.au/our-work/accessible-australia?language=en" TargetMode="External"/><Relationship Id="rId47" Type="http://schemas.openxmlformats.org/officeDocument/2006/relationships/hyperlink" Target="https://www.abs.gov.au/statistics/economy/national-accounts/quarterly-tourism-labour-statistics/latest-release" TargetMode="External"/><Relationship Id="rId50" Type="http://schemas.openxmlformats.org/officeDocument/2006/relationships/header" Target="header2.xm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austrade.gov.au/en/how-we-can-help-you/grants/kids-for-the-reef-school-excursion-rebate-program" TargetMode="External"/><Relationship Id="rId29" Type="http://schemas.openxmlformats.org/officeDocument/2006/relationships/hyperlink" Target="https://sacsa.org.au/projects/review-of-tourism-and-travel-qualifications" TargetMode="External"/><Relationship Id="rId11" Type="http://schemas.openxmlformats.org/officeDocument/2006/relationships/hyperlink" Target="https://www.tourism.australia.com/en/news-and-events/news/tourism-australia-releases-new-strategy.html" TargetMode="External"/><Relationship Id="rId24" Type="http://schemas.openxmlformats.org/officeDocument/2006/relationships/hyperlink" Target="https://regionaltourism.com.au/convention/" TargetMode="External"/><Relationship Id="rId32" Type="http://schemas.openxmlformats.org/officeDocument/2006/relationships/hyperlink" Target="https://qualitytourismaustralia.com/wp-content/uploads/2026/05/ATIC-260512-QTF-Budget-Extension.pdf" TargetMode="External"/><Relationship Id="rId37" Type="http://schemas.openxmlformats.org/officeDocument/2006/relationships/hyperlink" Target="https://www.tourism.australia.com/en/news-and-events/news/tourism-australia-unveils-new-industry-wide-initiative.html" TargetMode="External"/><Relationship Id="rId40" Type="http://schemas.openxmlformats.org/officeDocument/2006/relationships/hyperlink" Target="https://arena.gov.au/funding/cleaner-fuels-program/" TargetMode="External"/><Relationship Id="rId45" Type="http://schemas.openxmlformats.org/officeDocument/2006/relationships/hyperlink" Target="https://www.tra.gov.au/en/tourism-statistics/business-events-data" TargetMode="External"/><Relationship Id="rId53" Type="http://schemas.openxmlformats.org/officeDocument/2006/relationships/header" Target="header3.xml"/><Relationship Id="rId5" Type="http://schemas.openxmlformats.org/officeDocument/2006/relationships/numbering" Target="numbering.xml"/><Relationship Id="rId19" Type="http://schemas.openxmlformats.org/officeDocument/2006/relationships/hyperlink" Target="https://www.austrade.gov.au/en/how-we-can-help-you/grants/red-centre-tourism-development-fun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ustrade.gov.au/en/how-we-can-help-you/programs-and-services/china-approved-destination-scheme/ads-framework-consultation" TargetMode="External"/><Relationship Id="rId22" Type="http://schemas.openxmlformats.org/officeDocument/2006/relationships/hyperlink" Target="https://www.arts.gov.au/funding-and-support/revive-live" TargetMode="External"/><Relationship Id="rId27" Type="http://schemas.openxmlformats.org/officeDocument/2006/relationships/hyperlink" Target="https://www.infrastructure.gov.au/have-your-say/aviation-disability-standards-consultation-paper" TargetMode="External"/><Relationship Id="rId30" Type="http://schemas.openxmlformats.org/officeDocument/2006/relationships/hyperlink" Target="https://www.nema.gov.au/our-work/disaster-recovery/disaster-recovery-funding-arrangements" TargetMode="External"/><Relationship Id="rId35" Type="http://schemas.openxmlformats.org/officeDocument/2006/relationships/hyperlink" Target="https://www.aph.gov.au/Parliamentary_Business/Committees/Joint/Corporations_and_Financial_Services/SmallBusinessInsurance/Submissions" TargetMode="External"/><Relationship Id="rId43" Type="http://schemas.openxmlformats.org/officeDocument/2006/relationships/hyperlink" Target="https://www.google.com/url?sa=i&amp;source=web&amp;rct=j&amp;url=CAESlwEB6zswFcDT2yxCdf2dfNG8KqVUUVQvpqtPUAjeeMyqN8JapGPimnVc5jg7bL4ofQNwwCrvTQ_JnaU3jFp5VAukSZQsZxbhsEx-Nt1gDYiL5a50eHVunhhbyy0G3LrnupUVXSKRw7639Bib5fn_uecqwBimTPlpawZLWRvCBAjMgCUdvqFUfALY3VDiDUMvzshzvY6P7587&amp;uoh=2&amp;ved=2ahUKEwiyg_CYwriXAxU6plYBHdECFZoQy_kOegoIAggACAAIDBAB&amp;opi=89978449&amp;cd&amp;psig=AOvVaw02Ac4zdS5hRCPMloU7OOTP&amp;ust=1792033244275000" TargetMode="External"/><Relationship Id="rId48" Type="http://schemas.openxmlformats.org/officeDocument/2006/relationships/hyperlink" Target="https://www.abs.gov.au/statistics/industry/tourism-and-transport/overseas-arrivals-and-departures-australia/latest-release"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www.instagram.com/australia.guides/" TargetMode="External"/><Relationship Id="rId17" Type="http://schemas.openxmlformats.org/officeDocument/2006/relationships/hyperlink" Target="https://www.trademinister.gov.au/minister/don-farrell/media-release/investing-see-more-aussies-experience-red-centre" TargetMode="External"/><Relationship Id="rId25" Type="http://schemas.openxmlformats.org/officeDocument/2006/relationships/hyperlink" Target="https://www.aph.gov.au/Parliamentary_Business/Bills_Legislation/Bills_Search_Results/Result?bId=r7469" TargetMode="External"/><Relationship Id="rId33" Type="http://schemas.openxmlformats.org/officeDocument/2006/relationships/hyperlink" Target="https://www.austrade.gov.au/en/how-we-can-help-you/grants/supporting-australian-tourism-and-travel-package" TargetMode="External"/><Relationship Id="rId38" Type="http://schemas.openxmlformats.org/officeDocument/2006/relationships/hyperlink" Target="https://www.abs.gov.au/statistics/industry/tourism-and-transport/tourism-greenhouse-gas-emissions-account" TargetMode="External"/><Relationship Id="rId46" Type="http://schemas.openxmlformats.org/officeDocument/2006/relationships/hyperlink" Target="https://www.tra.gov.au/en/tourism-industry-analysis/state-and-regional-sta" TargetMode="External"/><Relationship Id="rId20" Type="http://schemas.openxmlformats.org/officeDocument/2006/relationships/hyperlink" Target="https://www.teachermagazine.com/au_en/articles/schools-in-on-the-great-barrier-reef" TargetMode="External"/><Relationship Id="rId41" Type="http://schemas.openxmlformats.org/officeDocument/2006/relationships/hyperlink" Target="https://arena.gov.au/funding/cleaner-fuels-program/" TargetMode="External"/><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minister.homeaffairs.gov.au/TonyBurke/Pages/digital-passenger-cards-to-streamline-australias-borders.aspx" TargetMode="External"/><Relationship Id="rId23" Type="http://schemas.openxmlformats.org/officeDocument/2006/relationships/hyperlink" Target="https://regionaltourism.com.au/convention/" TargetMode="External"/><Relationship Id="rId28" Type="http://schemas.openxmlformats.org/officeDocument/2006/relationships/hyperlink" Target="https://minister.infrastructure.gov.au/c-king/media-release/updated-air-services-agreement-indonesia" TargetMode="External"/><Relationship Id="rId36" Type="http://schemas.openxmlformats.org/officeDocument/2006/relationships/hyperlink" Target="https://www.tourism.australia.com/content/dam/digital/corporate/documents/overview-of-eu-directive-empowering-consumers-for-green-transition.pdf" TargetMode="External"/><Relationship Id="rId49" Type="http://schemas.openxmlformats.org/officeDocument/2006/relationships/header" Target="header1.xml"/><Relationship Id="rId57" Type="http://schemas.microsoft.com/office/2020/10/relationships/intelligence" Target="intelligence2.xml"/><Relationship Id="rId10" Type="http://schemas.openxmlformats.org/officeDocument/2006/relationships/endnotes" Target="endnotes.xml"/><Relationship Id="rId31" Type="http://schemas.openxmlformats.org/officeDocument/2006/relationships/hyperlink" Target="https://ministers.treasury.gov.au/ministers/jim-chalmers-2022/media-releases/changes-disaster-recovery-funding-arrangement-reforms" TargetMode="External"/><Relationship Id="rId44" Type="http://schemas.openxmlformats.org/officeDocument/2006/relationships/hyperlink" Target="https://www.waitoc.com/application/files/4717/8711/6275/Ancient_Cultures_Meet_-_final_small.pdf" TargetMode="External"/><Relationship Id="rId5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Austrade\Corporate%20Templates\Branded%20Templates\Austrade%20Brand\US%20Letter\Austrade%20-%20Large%20Masthead%20-%20US%20Letter.dotx" TargetMode="External"/></Relationships>
</file>

<file path=word/theme/theme1.xml><?xml version="1.0" encoding="utf-8"?>
<a:theme xmlns:a="http://schemas.openxmlformats.org/drawingml/2006/main" name="Office Theme">
  <a:themeElements>
    <a:clrScheme name="Austrade colours">
      <a:dk1>
        <a:srgbClr val="000000"/>
      </a:dk1>
      <a:lt1>
        <a:sysClr val="window" lastClr="FFFFFF"/>
      </a:lt1>
      <a:dk2>
        <a:srgbClr val="2E1A47"/>
      </a:dk2>
      <a:lt2>
        <a:srgbClr val="A943DE"/>
      </a:lt2>
      <a:accent1>
        <a:srgbClr val="7A4282"/>
      </a:accent1>
      <a:accent2>
        <a:srgbClr val="2E1A47"/>
      </a:accent2>
      <a:accent3>
        <a:srgbClr val="C7A5FF"/>
      </a:accent3>
      <a:accent4>
        <a:srgbClr val="C78570"/>
      </a:accent4>
      <a:accent5>
        <a:srgbClr val="877B77"/>
      </a:accent5>
      <a:accent6>
        <a:srgbClr val="E4E1DC"/>
      </a:accent6>
      <a:hlink>
        <a:srgbClr val="2E1A47"/>
      </a:hlink>
      <a:folHlink>
        <a:srgbClr val="2E1A47"/>
      </a:folHlink>
    </a:clrScheme>
    <a:fontScheme name="Austrade">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965A10587E2F4B9C5CBC374F200124" ma:contentTypeVersion="18" ma:contentTypeDescription="Create a new document." ma:contentTypeScope="" ma:versionID="e5de38c2587c1c31c244a0172c292e00">
  <xsd:schema xmlns:xsd="http://www.w3.org/2001/XMLSchema" xmlns:xs="http://www.w3.org/2001/XMLSchema" xmlns:p="http://schemas.microsoft.com/office/2006/metadata/properties" xmlns:ns1="http://schemas.microsoft.com/sharepoint/v3" xmlns:ns2="95393cc2-3c37-4544-b041-29172f73605b" xmlns:ns3="ec2472de-ddbe-426b-b482-e7ddac910fb3" targetNamespace="http://schemas.microsoft.com/office/2006/metadata/properties" ma:root="true" ma:fieldsID="b9623dbf280ce714b1f71a3c264c83cc" ns1:_="" ns2:_="" ns3:_="">
    <xsd:import namespace="http://schemas.microsoft.com/sharepoint/v3"/>
    <xsd:import namespace="95393cc2-3c37-4544-b041-29172f73605b"/>
    <xsd:import namespace="ec2472de-ddbe-426b-b482-e7ddac910fb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1:_ip_UnifiedCompliancePolicyProperties" minOccurs="0"/>
                <xsd:element ref="ns1:_ip_UnifiedCompliancePolicyUIAc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393cc2-3c37-4544-b041-29172f7360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f735d107-6f3a-4882-a73a-9dce38ae0c61"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2472de-ddbe-426b-b482-e7ddac910fb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d2f68e8-010b-4d0f-b50c-528e0d0fa449}" ma:internalName="TaxCatchAll" ma:showField="CatchAllData" ma:web="ec2472de-ddbe-426b-b482-e7ddac910fb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ec2472de-ddbe-426b-b482-e7ddac910fb3" xsi:nil="true"/>
    <lcf76f155ced4ddcb4097134ff3c332f xmlns="95393cc2-3c37-4544-b041-29172f73605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1EE1BC5-02EF-4578-837E-2572628243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5393cc2-3c37-4544-b041-29172f73605b"/>
    <ds:schemaRef ds:uri="ec2472de-ddbe-426b-b482-e7ddac910f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9E8F25-FAEB-49CC-B73F-3E7990EBC46D}">
  <ds:schemaRefs>
    <ds:schemaRef ds:uri="http://schemas.openxmlformats.org/officeDocument/2006/bibliography"/>
  </ds:schemaRefs>
</ds:datastoreItem>
</file>

<file path=customXml/itemProps3.xml><?xml version="1.0" encoding="utf-8"?>
<ds:datastoreItem xmlns:ds="http://schemas.openxmlformats.org/officeDocument/2006/customXml" ds:itemID="{6C45B8AE-CA32-4CDD-BD4B-7D6BA6B6D55B}">
  <ds:schemaRefs>
    <ds:schemaRef ds:uri="http://schemas.microsoft.com/sharepoint/v3/contenttype/forms"/>
  </ds:schemaRefs>
</ds:datastoreItem>
</file>

<file path=customXml/itemProps4.xml><?xml version="1.0" encoding="utf-8"?>
<ds:datastoreItem xmlns:ds="http://schemas.openxmlformats.org/officeDocument/2006/customXml" ds:itemID="{4F2E9D5E-80EA-45EB-8CF6-C1C9621FB1DD}">
  <ds:schemaRefs>
    <ds:schemaRef ds:uri="http://schemas.microsoft.com/office/2006/metadata/properties"/>
    <ds:schemaRef ds:uri="http://schemas.microsoft.com/office/infopath/2007/PartnerControls"/>
    <ds:schemaRef ds:uri="http://schemas.microsoft.com/sharepoint/v3"/>
    <ds:schemaRef ds:uri="ec2472de-ddbe-426b-b482-e7ddac910fb3"/>
    <ds:schemaRef ds:uri="95393cc2-3c37-4544-b041-29172f73605b"/>
  </ds:schemaRefs>
</ds:datastoreItem>
</file>

<file path=docProps/app.xml><?xml version="1.0" encoding="utf-8"?>
<Properties xmlns="http://schemas.openxmlformats.org/officeDocument/2006/extended-properties" xmlns:vt="http://schemas.openxmlformats.org/officeDocument/2006/docPropsVTypes">
  <Template>Austrade - Large Masthead - US Letter.dotx</Template>
  <TotalTime>17</TotalTime>
  <Pages>10</Pages>
  <Words>5467</Words>
  <Characters>32904</Characters>
  <Application>Microsoft Office Word</Application>
  <DocSecurity>0</DocSecurity>
  <Lines>987</Lines>
  <Paragraphs>251</Paragraphs>
  <ScaleCrop>false</ScaleCrop>
  <HeadingPairs>
    <vt:vector size="2" baseType="variant">
      <vt:variant>
        <vt:lpstr>Title</vt:lpstr>
      </vt:variant>
      <vt:variant>
        <vt:i4>1</vt:i4>
      </vt:variant>
    </vt:vector>
  </HeadingPairs>
  <TitlesOfParts>
    <vt:vector size="1" baseType="lpstr">
      <vt:lpstr>Austrade - Large masthead template (US Letter)</vt:lpstr>
    </vt:vector>
  </TitlesOfParts>
  <Company>Australian Trade and Investment Commission</Company>
  <LinksUpToDate>false</LinksUpToDate>
  <CharactersWithSpaces>38236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THRIVE 2030 Action Plan – Progress status report</dc:title>
  <dc:subject/>
  <dc:creator>srilanka@austrade.gov.au</dc:creator>
  <cp:keywords>Template</cp:keywords>
  <dc:description>Reporting period: 1 July – 30 September 2026</dc:description>
  <cp:lastModifiedBy>Ash-Holland [Hobart]</cp:lastModifiedBy>
  <cp:revision>13</cp:revision>
  <cp:lastPrinted>2026-10-19T03:11:00Z</cp:lastPrinted>
  <dcterms:created xsi:type="dcterms:W3CDTF">2026-10-20T05:43:00Z</dcterms:created>
  <dcterms:modified xsi:type="dcterms:W3CDTF">2026-10-22T04:34:00Z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0x0101000F965A10587E2F4B9C5CBC374F200124</vt:lpwstr>
  </property>
  <property fmtid="{D5CDD505-2E9C-101B-9397-08002B2CF9AE}" pid="3" name="_dlc_DocIdItemGuid">
    <vt:lpwstr>ab5c0b2a-b273-4923-ab47-99f709318103</vt:lpwstr>
  </property>
  <property fmtid="{D5CDD505-2E9C-101B-9397-08002B2CF9AE}" pid="4" name="MediaServiceImageTags">
    <vt:lpwstr/>
  </property>
  <property fmtid="{D5CDD505-2E9C-101B-9397-08002B2CF9AE}" pid="5" name="ClassificationContentMarkingHeaderShapeIds">
    <vt:lpwstr>197708c0,26b9c711,36a05a14</vt:lpwstr>
  </property>
  <property fmtid="{D5CDD505-2E9C-101B-9397-08002B2CF9AE}" pid="6" name="ClassificationContentMarkingHeaderFontProps">
    <vt:lpwstr>#ff0000,12,Calibri</vt:lpwstr>
  </property>
  <property fmtid="{D5CDD505-2E9C-101B-9397-08002B2CF9AE}" pid="7" name="ClassificationContentMarkingHeaderText">
    <vt:lpwstr>OFFICIAL</vt:lpwstr>
  </property>
  <property fmtid="{D5CDD505-2E9C-101B-9397-08002B2CF9AE}" pid="8" name="ClassificationContentMarkingFooterShapeIds">
    <vt:lpwstr>15b49832,65c020fc,5fb90a9a</vt:lpwstr>
  </property>
  <property fmtid="{D5CDD505-2E9C-101B-9397-08002B2CF9AE}" pid="9" name="ClassificationContentMarkingFooterFontProps">
    <vt:lpwstr>#ff0000,12,Calibri</vt:lpwstr>
  </property>
  <property fmtid="{D5CDD505-2E9C-101B-9397-08002B2CF9AE}" pid="10" name="ClassificationContentMarkingFooterText">
    <vt:lpwstr>OFFICIAL</vt:lpwstr>
  </property>
  <property fmtid="{D5CDD505-2E9C-101B-9397-08002B2CF9AE}" pid="11" name="MSIP_Label_72160a83-df68-4146-9dd5-ccaae79426db_Enabled">
    <vt:lpwstr>true</vt:lpwstr>
  </property>
  <property fmtid="{D5CDD505-2E9C-101B-9397-08002B2CF9AE}" pid="12" name="MSIP_Label_72160a83-df68-4146-9dd5-ccaae79426db_SetDate">
    <vt:lpwstr>2025-09-01T01:43:12Z</vt:lpwstr>
  </property>
  <property fmtid="{D5CDD505-2E9C-101B-9397-08002B2CF9AE}" pid="13" name="MSIP_Label_72160a83-df68-4146-9dd5-ccaae79426db_Method">
    <vt:lpwstr>Privileged</vt:lpwstr>
  </property>
  <property fmtid="{D5CDD505-2E9C-101B-9397-08002B2CF9AE}" pid="14" name="MSIP_Label_72160a83-df68-4146-9dd5-ccaae79426db_Name">
    <vt:lpwstr>OFFICIAL</vt:lpwstr>
  </property>
  <property fmtid="{D5CDD505-2E9C-101B-9397-08002B2CF9AE}" pid="15" name="MSIP_Label_72160a83-df68-4146-9dd5-ccaae79426db_SiteId">
    <vt:lpwstr>c6ba7d27-a97a-40a4-82e4-4d23131de9f4</vt:lpwstr>
  </property>
  <property fmtid="{D5CDD505-2E9C-101B-9397-08002B2CF9AE}" pid="16" name="MSIP_Label_72160a83-df68-4146-9dd5-ccaae79426db_ActionId">
    <vt:lpwstr>792257a1-bee3-4514-a0c7-a364d0e63870</vt:lpwstr>
  </property>
  <property fmtid="{D5CDD505-2E9C-101B-9397-08002B2CF9AE}" pid="17" name="MSIP_Label_72160a83-df68-4146-9dd5-ccaae79426db_ContentBits">
    <vt:lpwstr>3</vt:lpwstr>
  </property>
  <property fmtid="{D5CDD505-2E9C-101B-9397-08002B2CF9AE}" pid="18" name="MSIP_Label_72160a83-df68-4146-9dd5-ccaae79426db_Tag">
    <vt:lpwstr>10, 0, 1, 1</vt:lpwstr>
  </property>
  <property fmtid="{D5CDD505-2E9C-101B-9397-08002B2CF9AE}" pid="19" name="docLang">
    <vt:lpwstr>en</vt:lpwstr>
  </property>
</Properties>
</file>