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val="0"/>
          <w:color w:val="000000" w:themeColor="text1"/>
          <w:sz w:val="20"/>
          <w:szCs w:val="20"/>
        </w:rPr>
        <w:id w:val="-1649280474"/>
        <w:docPartObj>
          <w:docPartGallery w:val="Cover Pages"/>
          <w:docPartUnique/>
        </w:docPartObj>
      </w:sdtPr>
      <w:sdtEndPr>
        <w:rPr>
          <w:bCs/>
          <w:sz w:val="26"/>
          <w:szCs w:val="24"/>
        </w:rPr>
      </w:sdtEndPr>
      <w:sdtContent>
        <w:p w14:paraId="059B4049" w14:textId="08D646EB" w:rsidR="00BA0ADB" w:rsidRDefault="00BD612E" w:rsidP="00BA0ADB">
          <w:pPr>
            <w:pStyle w:val="Heading1"/>
          </w:pPr>
          <w:r w:rsidRPr="003E1EDD">
            <w:t xml:space="preserve">THRIVE 2030 Phase 1 </w:t>
          </w:r>
          <w:r w:rsidR="00202BDB">
            <w:t>–</w:t>
          </w:r>
          <w:r w:rsidRPr="003E1EDD">
            <w:t xml:space="preserve"> Implementation Progress</w:t>
          </w:r>
          <w:r w:rsidR="002A5EE5" w:rsidRPr="00FB606A">
            <w:rPr>
              <w:rStyle w:val="Heading2Char"/>
              <w:noProof/>
              <w:lang w:eastAsia="en-AU"/>
            </w:rPr>
            <w:drawing>
              <wp:anchor distT="0" distB="0" distL="114300" distR="114300" simplePos="0" relativeHeight="251658240" behindDoc="0" locked="0" layoutInCell="1" allowOverlap="1" wp14:anchorId="42A30111" wp14:editId="0C4EF093">
                <wp:simplePos x="0" y="0"/>
                <wp:positionH relativeFrom="column">
                  <wp:posOffset>-628015</wp:posOffset>
                </wp:positionH>
                <wp:positionV relativeFrom="paragraph">
                  <wp:posOffset>-1209040</wp:posOffset>
                </wp:positionV>
                <wp:extent cx="7533640" cy="1306195"/>
                <wp:effectExtent l="0" t="0" r="0" b="0"/>
                <wp:wrapNone/>
                <wp:docPr id="301" name="Picture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640" cy="1306195"/>
                        </a:xfrm>
                        <a:prstGeom prst="rect">
                          <a:avLst/>
                        </a:prstGeom>
                      </pic:spPr>
                    </pic:pic>
                  </a:graphicData>
                </a:graphic>
                <wp14:sizeRelH relativeFrom="margin">
                  <wp14:pctWidth>0</wp14:pctWidth>
                </wp14:sizeRelH>
                <wp14:sizeRelV relativeFrom="margin">
                  <wp14:pctHeight>0</wp14:pctHeight>
                </wp14:sizeRelV>
              </wp:anchor>
            </w:drawing>
          </w:r>
          <w:r w:rsidR="002A5EE5" w:rsidRPr="00FB606A">
            <w:rPr>
              <w:rStyle w:val="Heading2Char"/>
              <w:noProof/>
              <w:lang w:eastAsia="en-AU"/>
            </w:rPr>
            <w:drawing>
              <wp:anchor distT="0" distB="0" distL="114300" distR="114300" simplePos="0" relativeHeight="251658241" behindDoc="0" locked="0" layoutInCell="1" allowOverlap="1" wp14:anchorId="1F407C1F" wp14:editId="01D5E4D8">
                <wp:simplePos x="0" y="0"/>
                <wp:positionH relativeFrom="margin">
                  <wp:posOffset>-118110</wp:posOffset>
                </wp:positionH>
                <wp:positionV relativeFrom="paragraph">
                  <wp:posOffset>-1042670</wp:posOffset>
                </wp:positionV>
                <wp:extent cx="2857500" cy="82359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EE5" w:rsidRPr="00FB606A">
            <w:rPr>
              <w:rStyle w:val="Heading2Char"/>
              <w:noProof/>
              <w:lang w:eastAsia="en-AU"/>
            </w:rPr>
            <w:drawing>
              <wp:anchor distT="0" distB="0" distL="114300" distR="114300" simplePos="0" relativeHeight="251658242" behindDoc="0" locked="0" layoutInCell="1" allowOverlap="1" wp14:anchorId="300948ED" wp14:editId="55BAFF02">
                <wp:simplePos x="0" y="0"/>
                <wp:positionH relativeFrom="column">
                  <wp:posOffset>4801870</wp:posOffset>
                </wp:positionH>
                <wp:positionV relativeFrom="page">
                  <wp:posOffset>509905</wp:posOffset>
                </wp:positionV>
                <wp:extent cx="1476375" cy="1549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AA404" w14:textId="684E0433" w:rsidR="00E66EE7" w:rsidRPr="00E66EE7" w:rsidRDefault="00637AC4" w:rsidP="00E66EE7">
          <w:pPr>
            <w:spacing w:before="0" w:after="160" w:line="259" w:lineRule="auto"/>
            <w:rPr>
              <w:bCs/>
            </w:rPr>
          </w:pPr>
          <w:r w:rsidRPr="00E66EE7">
            <w:rPr>
              <w:bCs/>
            </w:rPr>
            <w:t>Targets</w:t>
          </w:r>
          <w:r w:rsidR="00E66EE7" w:rsidRPr="00E66EE7">
            <w:rPr>
              <w:bCs/>
            </w:rPr>
            <w:t xml:space="preserve">: The THRIVE 2030 Strategy aims to achieve total visitor expenditure of $166 billion by 2024 (Phase 1), and $230 billion by 2030. The Strategy also aims to achieve visitor expenditure in regional Australia of $70 billion by 2024 and $100 billion by 2030. </w:t>
          </w:r>
        </w:p>
        <w:p w14:paraId="2A0C8846" w14:textId="77777777" w:rsidR="00E66EE7" w:rsidRPr="00E66EE7" w:rsidRDefault="00E66EE7" w:rsidP="00E66EE7">
          <w:pPr>
            <w:spacing w:before="0" w:after="160" w:line="259" w:lineRule="auto"/>
            <w:rPr>
              <w:bCs/>
            </w:rPr>
          </w:pPr>
          <w:r w:rsidRPr="00E66EE7">
            <w:rPr>
              <w:bCs/>
            </w:rPr>
            <w:t xml:space="preserve">THRIVE 2030’s visitor expenditure target for Phase 1 has largely been met. Total visitor economy spend (including long-term international students) was $164.2 billion in 2022, of which $74.2 billion was spent in regional Australia. </w:t>
          </w:r>
          <w:proofErr w:type="gramStart"/>
          <w:r w:rsidRPr="00E66EE7">
            <w:rPr>
              <w:bCs/>
            </w:rPr>
            <w:t>Total</w:t>
          </w:r>
          <w:proofErr w:type="gramEnd"/>
          <w:r w:rsidRPr="00E66EE7">
            <w:rPr>
              <w:bCs/>
            </w:rPr>
            <w:t xml:space="preserve"> spend is 1% below the target of $166 billion for 2024 and regional spend 6% above the target of $70 billion by 2024.</w:t>
          </w:r>
        </w:p>
        <w:p w14:paraId="1F4B2EED" w14:textId="6D892F33" w:rsidR="006C698E" w:rsidRDefault="00E66EE7" w:rsidP="00E66EE7">
          <w:pPr>
            <w:spacing w:before="0" w:after="160" w:line="259" w:lineRule="auto"/>
          </w:pPr>
          <w:r>
            <w:t xml:space="preserve">This report tracks implementation of the first year of the THRIVE 2030 Strategy Phase 1. The </w:t>
          </w:r>
          <w:r w:rsidR="008950F9">
            <w:t>summary</w:t>
          </w:r>
          <w:r>
            <w:t xml:space="preserve"> below outlines progress against each of the seven policy priorities, while progress for all 64 strategic actions is detailed on the following pages. In </w:t>
          </w:r>
          <w:r w:rsidR="263AC8E8">
            <w:t>s</w:t>
          </w:r>
          <w:r>
            <w:t xml:space="preserve">ummary: </w:t>
          </w:r>
          <w:r w:rsidR="36C5519C">
            <w:t>e</w:t>
          </w:r>
          <w:r>
            <w:t>ight strategic actions have been completed, 52 actions are underway, with four actions pending.</w:t>
          </w:r>
        </w:p>
        <w:p w14:paraId="60A946E3" w14:textId="2CFFF03A" w:rsidR="00DD4D02" w:rsidRPr="00DD4D02" w:rsidRDefault="00DD4D02" w:rsidP="00DD4D02">
          <w:r>
            <w:t xml:space="preserve">Attachment A: List of acronyms (page </w:t>
          </w:r>
          <w:r w:rsidR="00324AE6">
            <w:t>25</w:t>
          </w:r>
          <w:r>
            <w:t>)</w:t>
          </w:r>
        </w:p>
        <w:p w14:paraId="4B8C6A77" w14:textId="562752F6" w:rsidR="00DD4D02" w:rsidRPr="00DD4D02" w:rsidRDefault="00DD4D02" w:rsidP="00DD4D02">
          <w:r>
            <w:t xml:space="preserve">Attachment B: Stakeholders consulted in preparing this report (page </w:t>
          </w:r>
          <w:r w:rsidR="00324AE6">
            <w:t>27</w:t>
          </w:r>
          <w:r>
            <w:t xml:space="preserve">) </w:t>
          </w:r>
        </w:p>
        <w:p w14:paraId="3DF9741F" w14:textId="7B96611B" w:rsidR="006D4784" w:rsidRDefault="006D4784" w:rsidP="005F352D">
          <w:pPr>
            <w:pStyle w:val="Heading2"/>
          </w:pPr>
          <w:r>
            <w:t>Summary</w:t>
          </w:r>
          <w:r w:rsidR="00314513">
            <w:t xml:space="preserve"> of THRIVE 2030 Phase 1 Implementation Progress</w:t>
          </w:r>
          <w:r>
            <w:t xml:space="preserve"> </w:t>
          </w:r>
        </w:p>
        <w:p w14:paraId="0ADF8713" w14:textId="549CD9B9" w:rsidR="00245342" w:rsidRDefault="00406A0B" w:rsidP="005F352D">
          <w:pPr>
            <w:pStyle w:val="Heading3"/>
          </w:pPr>
          <w:r>
            <w:t>Theme 1: Collaborate</w:t>
          </w:r>
        </w:p>
        <w:p w14:paraId="3B752AF3" w14:textId="37E4D6B9" w:rsidR="006A7A2E" w:rsidRDefault="00EA44F7" w:rsidP="002910E1">
          <w:pPr>
            <w:pStyle w:val="Heading4"/>
          </w:pPr>
          <w:r>
            <w:t xml:space="preserve">Policy Priority 1: </w:t>
          </w:r>
          <w:r w:rsidR="00325D70">
            <w:t xml:space="preserve">Comprehensive collaboration (8 Actions, see page </w:t>
          </w:r>
          <w:r w:rsidR="00F510E4" w:rsidRPr="005A4F7C">
            <w:t>2</w:t>
          </w:r>
          <w:r w:rsidR="00325D70">
            <w:t>)</w:t>
          </w:r>
        </w:p>
        <w:p w14:paraId="05EE014F" w14:textId="3835B0D7" w:rsidR="003772FB" w:rsidRDefault="00166518" w:rsidP="003772FB">
          <w:r>
            <w:t xml:space="preserve">THRIVE </w:t>
          </w:r>
          <w:r w:rsidR="001A21B8">
            <w:t>2030</w:t>
          </w:r>
          <w:r w:rsidR="00A17808">
            <w:t>’s</w:t>
          </w:r>
          <w:r w:rsidR="001A21B8">
            <w:t xml:space="preserve"> Success Measures: </w:t>
          </w:r>
          <w:r w:rsidR="00256634">
            <w:t xml:space="preserve">Action plans are delivered collaboratively, with efficiency and on time; forums deliver against their terms of reference and follow good governance </w:t>
          </w:r>
          <w:r w:rsidR="00100802">
            <w:t xml:space="preserve">principles; stakeholders are satisfied with engagement and collaboration. </w:t>
          </w:r>
        </w:p>
        <w:p w14:paraId="30C898D6" w14:textId="15959E9F" w:rsidR="00100802" w:rsidRPr="003772FB" w:rsidRDefault="00100802" w:rsidP="003772FB">
          <w:r>
            <w:t xml:space="preserve">Progress: 8 of 8 actions completed or underway. </w:t>
          </w:r>
        </w:p>
        <w:p w14:paraId="12AE371D" w14:textId="46FC3A93" w:rsidR="00EA44F7" w:rsidRDefault="00EA44F7" w:rsidP="002910E1">
          <w:pPr>
            <w:pStyle w:val="Heading4"/>
          </w:pPr>
          <w:r>
            <w:t xml:space="preserve">Policy Priority 2: </w:t>
          </w:r>
          <w:r w:rsidR="0093126A">
            <w:t xml:space="preserve">Improve data and insights (6 Actions, see page </w:t>
          </w:r>
          <w:r w:rsidR="00324AE6">
            <w:t>4</w:t>
          </w:r>
          <w:r w:rsidR="0093126A">
            <w:t>)</w:t>
          </w:r>
        </w:p>
        <w:p w14:paraId="2CB7F804" w14:textId="3CC959A5" w:rsidR="00100802" w:rsidRDefault="00166518" w:rsidP="00100802">
          <w:r>
            <w:t xml:space="preserve">THRIVE </w:t>
          </w:r>
          <w:r w:rsidR="00971327">
            <w:t>2030</w:t>
          </w:r>
          <w:r w:rsidR="00A17808">
            <w:t>’s</w:t>
          </w:r>
          <w:r w:rsidR="00971327">
            <w:t xml:space="preserve"> Success Measures: High stakeholder </w:t>
          </w:r>
          <w:r w:rsidR="007E3420">
            <w:t xml:space="preserve">satisfaction </w:t>
          </w:r>
          <w:r w:rsidR="00811E30">
            <w:t xml:space="preserve">with statistical reports and research in terms of quality and timeliness. </w:t>
          </w:r>
        </w:p>
        <w:p w14:paraId="6B518007" w14:textId="6976F73A" w:rsidR="00811E30" w:rsidRPr="00100802" w:rsidRDefault="00811E30" w:rsidP="00100802">
          <w:r>
            <w:t>Progress: 5 of 6 actions complete or underway</w:t>
          </w:r>
          <w:r w:rsidR="00E90380">
            <w:t xml:space="preserve">. </w:t>
          </w:r>
        </w:p>
        <w:p w14:paraId="7CB50C2B" w14:textId="339C9709" w:rsidR="006D4784" w:rsidRDefault="00406A0B" w:rsidP="005F352D">
          <w:pPr>
            <w:pStyle w:val="Heading3"/>
          </w:pPr>
          <w:r>
            <w:lastRenderedPageBreak/>
            <w:t>Theme 2: Modernise</w:t>
          </w:r>
        </w:p>
        <w:p w14:paraId="1D8B8030" w14:textId="2E0209FA" w:rsidR="00EA44F7" w:rsidRDefault="00EA44F7" w:rsidP="002910E1">
          <w:pPr>
            <w:pStyle w:val="Heading4"/>
          </w:pPr>
          <w:r>
            <w:t xml:space="preserve">Policy Priority 3: </w:t>
          </w:r>
          <w:r w:rsidR="0093126A">
            <w:t>Gr</w:t>
          </w:r>
          <w:r w:rsidR="005925D9">
            <w:t xml:space="preserve">ow a secure and resilient workforce (12 Actions, see page </w:t>
          </w:r>
          <w:r w:rsidR="00324AE6">
            <w:t>6</w:t>
          </w:r>
          <w:r w:rsidR="005925D9">
            <w:t>)</w:t>
          </w:r>
        </w:p>
        <w:p w14:paraId="10C8F2B5" w14:textId="23C09095" w:rsidR="00E90380" w:rsidRDefault="00A17808" w:rsidP="00E90380">
          <w:r>
            <w:t xml:space="preserve">THRIVE 2030’s Success Measures: </w:t>
          </w:r>
          <w:r w:rsidR="00E90380">
            <w:t>Workforce numbers; increase in workers from specific demographics (First Nations, apprentices</w:t>
          </w:r>
          <w:r w:rsidR="008F0004">
            <w:t xml:space="preserve">, older Australians etc.); visitor and business </w:t>
          </w:r>
          <w:r w:rsidR="008B0FFD">
            <w:t>operat</w:t>
          </w:r>
          <w:r w:rsidR="00477502">
            <w:t xml:space="preserve">or satisfaction with workforce skill levels. </w:t>
          </w:r>
        </w:p>
        <w:p w14:paraId="6F1DC7EB" w14:textId="62217274" w:rsidR="00477502" w:rsidRPr="00E90380" w:rsidRDefault="00477502" w:rsidP="00E90380">
          <w:r>
            <w:t xml:space="preserve">Progress: 12 of 12 actions completed or underway. </w:t>
          </w:r>
        </w:p>
        <w:p w14:paraId="075E9803" w14:textId="5AB8FD94" w:rsidR="00EA44F7" w:rsidRDefault="00EA44F7" w:rsidP="002910E1">
          <w:pPr>
            <w:pStyle w:val="Heading4"/>
          </w:pPr>
          <w:r>
            <w:t>Policy Priority 4</w:t>
          </w:r>
          <w:r w:rsidR="005F352D">
            <w:t xml:space="preserve">: </w:t>
          </w:r>
          <w:r w:rsidR="005925D9">
            <w:t>Embrace leading-edge business practices (</w:t>
          </w:r>
          <w:r w:rsidR="006C3DDC">
            <w:t>10</w:t>
          </w:r>
          <w:r w:rsidR="005925D9">
            <w:t xml:space="preserve"> Actions, see page </w:t>
          </w:r>
          <w:r w:rsidR="00F510E4" w:rsidRPr="00324AE6">
            <w:t>1</w:t>
          </w:r>
          <w:r w:rsidR="00324AE6" w:rsidRPr="00324AE6">
            <w:t>1</w:t>
          </w:r>
          <w:r w:rsidR="005925D9">
            <w:t>)</w:t>
          </w:r>
        </w:p>
        <w:p w14:paraId="1E9AB963" w14:textId="739F9B67" w:rsidR="00A17808" w:rsidRDefault="00A17808" w:rsidP="00A17808">
          <w:r>
            <w:t xml:space="preserve">THRIVE 2030’s Success Measures: </w:t>
          </w:r>
          <w:r w:rsidR="00F3130D">
            <w:t xml:space="preserve">Increased level of innovation in visitor economy </w:t>
          </w:r>
          <w:r w:rsidR="0077067F">
            <w:t>businesses, which could include measures of technology a</w:t>
          </w:r>
          <w:r w:rsidR="000079CE">
            <w:t xml:space="preserve">daptation, new product development, business process improvement, and participation in and compliance with quality accreditation </w:t>
          </w:r>
          <w:r w:rsidR="00C5405E">
            <w:t>programs.</w:t>
          </w:r>
        </w:p>
        <w:p w14:paraId="4005A135" w14:textId="4C4076B6" w:rsidR="00477502" w:rsidRPr="00477502" w:rsidRDefault="00C5405E" w:rsidP="00477502">
          <w:r>
            <w:t xml:space="preserve">Progress: </w:t>
          </w:r>
          <w:r w:rsidR="006A4973">
            <w:t xml:space="preserve">9 of 10 actions completed or underway. </w:t>
          </w:r>
        </w:p>
        <w:p w14:paraId="736A2EC3" w14:textId="14D3877E" w:rsidR="005F352D" w:rsidRDefault="005F352D" w:rsidP="002910E1">
          <w:pPr>
            <w:pStyle w:val="Heading4"/>
          </w:pPr>
          <w:r>
            <w:t xml:space="preserve">Policy Priority 5: </w:t>
          </w:r>
          <w:r w:rsidR="006C3DDC">
            <w:t>Enhance visitor infrastructure (12 Actions, see page</w:t>
          </w:r>
          <w:r w:rsidR="00F510E4">
            <w:t xml:space="preserve"> </w:t>
          </w:r>
          <w:r w:rsidR="00F510E4" w:rsidRPr="00324AE6">
            <w:t>1</w:t>
          </w:r>
          <w:r w:rsidR="00324AE6" w:rsidRPr="00324AE6">
            <w:t>5</w:t>
          </w:r>
          <w:r w:rsidR="006C3DDC">
            <w:t>)</w:t>
          </w:r>
        </w:p>
        <w:p w14:paraId="1EA3C6D7" w14:textId="4FFD73C9" w:rsidR="006A4973" w:rsidRDefault="006A4973" w:rsidP="006A4973">
          <w:r>
            <w:t xml:space="preserve">THRIVE 2030’s Success Measures: </w:t>
          </w:r>
          <w:r w:rsidR="00642FAC">
            <w:t xml:space="preserve">Increase in volume and quality of relevant visitor </w:t>
          </w:r>
          <w:r w:rsidR="006F272A">
            <w:t xml:space="preserve">economy assets and infrastructure, including monitoring for </w:t>
          </w:r>
          <w:proofErr w:type="gramStart"/>
          <w:r w:rsidR="006F272A">
            <w:t>particular features</w:t>
          </w:r>
          <w:proofErr w:type="gramEnd"/>
          <w:r w:rsidR="006F272A">
            <w:t xml:space="preserve"> such as accessibility, environmental</w:t>
          </w:r>
          <w:r w:rsidR="006A486C">
            <w:t xml:space="preserve"> friendliness, and use of sustainable development practices; number of airline routes/seats; communications connectivity and quality. </w:t>
          </w:r>
        </w:p>
        <w:p w14:paraId="12E7D373" w14:textId="22D64639" w:rsidR="006A486C" w:rsidRPr="006A4973" w:rsidRDefault="006A486C" w:rsidP="006A4973">
          <w:r>
            <w:t xml:space="preserve">Progress: 12 of 12 actions completed or underway. </w:t>
          </w:r>
        </w:p>
        <w:p w14:paraId="0B07428B" w14:textId="77777777" w:rsidR="005F352D" w:rsidRDefault="006D4784" w:rsidP="005F352D">
          <w:pPr>
            <w:pStyle w:val="Heading3"/>
          </w:pPr>
          <w:r>
            <w:t xml:space="preserve">Theme 3: </w:t>
          </w:r>
          <w:r w:rsidR="00245342">
            <w:t>Diversify</w:t>
          </w:r>
        </w:p>
        <w:p w14:paraId="61BADF22" w14:textId="47DAA778" w:rsidR="005F352D" w:rsidRDefault="005F352D" w:rsidP="002910E1">
          <w:pPr>
            <w:pStyle w:val="Heading4"/>
          </w:pPr>
          <w:r>
            <w:t xml:space="preserve">Policy Priority 6: </w:t>
          </w:r>
          <w:r w:rsidR="006C3DDC">
            <w:t xml:space="preserve">Build markets and attract visitors (9 Actions, see page </w:t>
          </w:r>
          <w:r w:rsidR="00324AE6">
            <w:t>19</w:t>
          </w:r>
          <w:r w:rsidR="006C3DDC">
            <w:t>)</w:t>
          </w:r>
        </w:p>
        <w:p w14:paraId="74AC7EB9" w14:textId="7B88458A" w:rsidR="00DD4B70" w:rsidRDefault="00DD4B70" w:rsidP="00DD4B70">
          <w:r>
            <w:t xml:space="preserve">THRIVE 2030’s Success Measures: Increase in visitor spend (yield) from </w:t>
          </w:r>
          <w:r w:rsidR="00A235C1">
            <w:t>selected geographic markets and visitor segments; increase in visitor dispersal; changes in market share; strengthened bilateral tourism and education cooperation with strategic regional partners</w:t>
          </w:r>
          <w:r w:rsidR="00F70931">
            <w:t xml:space="preserve">; return on investment from new marketing strategies. </w:t>
          </w:r>
        </w:p>
        <w:p w14:paraId="082D8E08" w14:textId="6F21EE09" w:rsidR="00F70931" w:rsidRPr="00DD4B70" w:rsidRDefault="00F70931" w:rsidP="00DD4B70">
          <w:r>
            <w:t xml:space="preserve">Progress: 8 of 9 actions completed or underway. </w:t>
          </w:r>
        </w:p>
        <w:p w14:paraId="2350AF4F" w14:textId="0323EFC9" w:rsidR="00BA0ADB" w:rsidRDefault="005F352D" w:rsidP="002910E1">
          <w:pPr>
            <w:pStyle w:val="Heading4"/>
          </w:pPr>
          <w:r>
            <w:t xml:space="preserve">Policy Priority 7: </w:t>
          </w:r>
          <w:r w:rsidR="006C3DDC">
            <w:t>Grow uni</w:t>
          </w:r>
          <w:r w:rsidR="009735A2">
            <w:t>que and high-quality product</w:t>
          </w:r>
          <w:r w:rsidR="007047A1">
            <w:t>s</w:t>
          </w:r>
          <w:r w:rsidR="009735A2">
            <w:t xml:space="preserve">, including First Nation experiences (7 Actions, see page </w:t>
          </w:r>
          <w:r w:rsidR="00324AE6">
            <w:t>22</w:t>
          </w:r>
          <w:r w:rsidR="009735A2">
            <w:t>)</w:t>
          </w:r>
        </w:p>
      </w:sdtContent>
    </w:sdt>
    <w:p w14:paraId="6C0B5E92" w14:textId="3661687D" w:rsidR="00F70931" w:rsidRDefault="00625228" w:rsidP="00F70931">
      <w:r>
        <w:t xml:space="preserve">THRIVE 2030’s Success Measures: </w:t>
      </w:r>
      <w:r w:rsidR="00F70931">
        <w:t>Number of new visitor economy businesses/experiences; increase in the number of businesses</w:t>
      </w:r>
      <w:r w:rsidR="00E568D9">
        <w:t xml:space="preserve"> participating in quali</w:t>
      </w:r>
      <w:r w:rsidR="005E419F">
        <w:t>t</w:t>
      </w:r>
      <w:r w:rsidR="00E568D9">
        <w:t xml:space="preserve">y accreditation schemes; visitor satisfaction/quality measure indexes. </w:t>
      </w:r>
    </w:p>
    <w:p w14:paraId="2C120D04" w14:textId="1D5AC961" w:rsidR="003E60F9" w:rsidRDefault="00E568D9" w:rsidP="003E60F9">
      <w:pPr>
        <w:spacing w:after="0"/>
      </w:pPr>
      <w:r>
        <w:t xml:space="preserve">Progress: </w:t>
      </w:r>
      <w:r w:rsidR="00D80B10">
        <w:t>6 of 7 actions completed or underway.</w:t>
      </w:r>
      <w:r w:rsidR="003E60F9" w:rsidRPr="003E60F9">
        <w:rPr>
          <w:noProof/>
        </w:rPr>
        <w:t xml:space="preserve"> </w:t>
      </w:r>
    </w:p>
    <w:p w14:paraId="7D587A22" w14:textId="16CA61B1" w:rsidR="003E60F9" w:rsidRDefault="00F849E6" w:rsidP="003E60F9">
      <w:pPr>
        <w:spacing w:line="240" w:lineRule="auto"/>
      </w:pPr>
      <w:r>
        <w:rPr>
          <w:noProof/>
        </w:rPr>
        <w:drawing>
          <wp:inline distT="0" distB="0" distL="0" distR="0" wp14:anchorId="6D1276C6" wp14:editId="406D2AF7">
            <wp:extent cx="1159591" cy="819397"/>
            <wp:effectExtent l="0" t="0" r="0" b="0"/>
            <wp:docPr id="3" name="Picture 3" descr="THRIVE 2030 Branding Mar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RIVE 2030 Branding Mark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559" cy="825734"/>
                    </a:xfrm>
                    <a:prstGeom prst="rect">
                      <a:avLst/>
                    </a:prstGeom>
                    <a:noFill/>
                  </pic:spPr>
                </pic:pic>
              </a:graphicData>
            </a:graphic>
          </wp:inline>
        </w:drawing>
      </w:r>
      <w:r w:rsidR="003E60F9">
        <w:br w:type="page"/>
      </w:r>
    </w:p>
    <w:p w14:paraId="0D4B9E73" w14:textId="2C64314A" w:rsidR="00BA0ADB" w:rsidRPr="008C585D" w:rsidRDefault="00BA0ADB" w:rsidP="00BA0ADB">
      <w:pPr>
        <w:pStyle w:val="Heading2"/>
      </w:pPr>
      <w:r w:rsidRPr="008C585D">
        <w:lastRenderedPageBreak/>
        <w:t>Priority 1: Comprehensive collaboration</w:t>
      </w:r>
    </w:p>
    <w:p w14:paraId="290A619E" w14:textId="77777777" w:rsidR="00BA0ADB" w:rsidRPr="005E2C5B" w:rsidRDefault="00BA0ADB" w:rsidP="00BA0ADB">
      <w:r w:rsidRPr="005E2C5B">
        <w:t xml:space="preserve">The visitor economy is a complex ecosystem of many stakeholders. It includes any domestic or international visitor travelling within or to Australia for holiday, visiting friends and family, business, </w:t>
      </w:r>
      <w:proofErr w:type="gramStart"/>
      <w:r w:rsidRPr="005E2C5B">
        <w:t>work</w:t>
      </w:r>
      <w:proofErr w:type="gramEnd"/>
      <w:r w:rsidRPr="005E2C5B">
        <w:t xml:space="preserve"> or education. It also includes businesses who provide or promote services to create any part of a visitor’s end-to-end experience. Given this diversity, comprehensive collaboration between the Commonwealth, states and territories, local governments, industry bodies and businesses </w:t>
      </w:r>
      <w:proofErr w:type="gramStart"/>
      <w:r w:rsidRPr="005E2C5B">
        <w:t>is</w:t>
      </w:r>
      <w:proofErr w:type="gramEnd"/>
      <w:r w:rsidRPr="005E2C5B">
        <w:t xml:space="preserve"> key to grow a strong and resilient visitor economy. </w:t>
      </w:r>
    </w:p>
    <w:p w14:paraId="0E4FBAF3" w14:textId="77777777" w:rsidR="00BA0ADB" w:rsidRPr="005E2C5B" w:rsidRDefault="00BA0ADB" w:rsidP="00BA0ADB">
      <w:r w:rsidRPr="005E2C5B">
        <w:t>Under THRIVE 2030, Austrade has established a range of mechanisms to facilitate collaboration. This includes the THRIVE 2030 Implementation Advisory Group</w:t>
      </w:r>
      <w:r>
        <w:rPr>
          <w:iCs/>
        </w:rPr>
        <w:t xml:space="preserve"> (TIAG)</w:t>
      </w:r>
      <w:r w:rsidRPr="005E2C5B">
        <w:rPr>
          <w:iCs/>
        </w:rPr>
        <w:t>,</w:t>
      </w:r>
      <w:r w:rsidRPr="005E2C5B">
        <w:t xml:space="preserve"> Workforce and Skills Technical Working Group, Industry Data </w:t>
      </w:r>
      <w:r>
        <w:t xml:space="preserve">and </w:t>
      </w:r>
      <w:r w:rsidRPr="005E2C5B">
        <w:t>Expert Analysis (IDEA) Working Group and an Australian Government Visitor Economy Taskforce. Austrade also utilises existing mechanisms, such as Tourism Ministers’ Meeting</w:t>
      </w:r>
      <w:r>
        <w:rPr>
          <w:iCs/>
        </w:rPr>
        <w:t xml:space="preserve"> (TMM)</w:t>
      </w:r>
      <w:r w:rsidRPr="005E2C5B">
        <w:rPr>
          <w:iCs/>
        </w:rPr>
        <w:t>,</w:t>
      </w:r>
      <w:r w:rsidRPr="005E2C5B">
        <w:t xml:space="preserve"> the Australian Standing Committee on Tourism (ASCOT) and regular Visitor Economy industry forums to collaborate with stakeholders on an ongoing basis. Examples of outputs delivered through collaborative mechanisms include:</w:t>
      </w:r>
    </w:p>
    <w:p w14:paraId="23C3B9DF" w14:textId="77777777" w:rsidR="00BA0ADB" w:rsidRPr="005E2C5B" w:rsidRDefault="00BA0ADB" w:rsidP="008B2036">
      <w:pPr>
        <w:pStyle w:val="BulletList"/>
      </w:pPr>
      <w:r>
        <w:t>Informing</w:t>
      </w:r>
      <w:r w:rsidRPr="005E2C5B">
        <w:t xml:space="preserve"> development of the </w:t>
      </w:r>
      <w:r w:rsidRPr="008B2036">
        <w:rPr>
          <w:iCs/>
        </w:rPr>
        <w:t>Australian</w:t>
      </w:r>
      <w:r>
        <w:t xml:space="preserve"> </w:t>
      </w:r>
      <w:r w:rsidRPr="005E2C5B">
        <w:t xml:space="preserve">Government’s Employment White Paper and Aviation White </w:t>
      </w:r>
      <w:proofErr w:type="gramStart"/>
      <w:r w:rsidRPr="005E2C5B">
        <w:t>Paper;</w:t>
      </w:r>
      <w:proofErr w:type="gramEnd"/>
    </w:p>
    <w:p w14:paraId="26BE5F54" w14:textId="77777777" w:rsidR="00BA0ADB" w:rsidRPr="005E2C5B" w:rsidRDefault="00BA0ADB" w:rsidP="008B2036">
      <w:pPr>
        <w:pStyle w:val="BulletList"/>
      </w:pPr>
      <w:r>
        <w:t>Developing</w:t>
      </w:r>
      <w:r w:rsidRPr="005E2C5B">
        <w:t xml:space="preserve"> an Industry Sustainability </w:t>
      </w:r>
      <w:proofErr w:type="gramStart"/>
      <w:r w:rsidRPr="005E2C5B">
        <w:t>Framework;</w:t>
      </w:r>
      <w:proofErr w:type="gramEnd"/>
    </w:p>
    <w:p w14:paraId="705BDFA5" w14:textId="77777777" w:rsidR="00BA0ADB" w:rsidRDefault="00BA0ADB" w:rsidP="008B2036">
      <w:pPr>
        <w:pStyle w:val="BulletList"/>
      </w:pPr>
      <w:r>
        <w:t>Exploring</w:t>
      </w:r>
      <w:r w:rsidRPr="005E2C5B">
        <w:t xml:space="preserve"> options to address insurance accessibility and affordability challenges.</w:t>
      </w:r>
    </w:p>
    <w:p w14:paraId="26889580" w14:textId="2D6E1099" w:rsidR="00BA0ADB" w:rsidRPr="00456DDB" w:rsidRDefault="00BA0ADB" w:rsidP="00794655">
      <w:pPr>
        <w:pStyle w:val="Heading3"/>
        <w:spacing w:before="0"/>
      </w:pPr>
      <w:r w:rsidRPr="00456DDB">
        <w:t>Action 1.1</w:t>
      </w:r>
    </w:p>
    <w:p w14:paraId="5F2E0892" w14:textId="675F89A7" w:rsidR="00BA0ADB" w:rsidRDefault="00BA0ADB" w:rsidP="00BA0ADB">
      <w:r>
        <w:t xml:space="preserve">Action item: </w:t>
      </w:r>
      <w:r w:rsidRPr="00BA0ADB">
        <w:t>Appoint a THRIVE 2030 Implementation Advisory Group, representing a cross-section of industry, and governments, to guide, oversee and monitor progress of the Strategy.</w:t>
      </w:r>
    </w:p>
    <w:p w14:paraId="1B4CE1CD" w14:textId="5C071375" w:rsidR="00BA0ADB" w:rsidRDefault="00BA0ADB" w:rsidP="00BA0ADB">
      <w:r>
        <w:t xml:space="preserve">Action </w:t>
      </w:r>
      <w:proofErr w:type="gramStart"/>
      <w:r>
        <w:t>lead</w:t>
      </w:r>
      <w:proofErr w:type="gramEnd"/>
      <w:r>
        <w:t xml:space="preserve"> (partners): </w:t>
      </w:r>
      <w:r w:rsidRPr="004254E4">
        <w:t>Austrade</w:t>
      </w:r>
    </w:p>
    <w:p w14:paraId="788FA3ED" w14:textId="02BBC73D" w:rsidR="00BA0ADB" w:rsidRPr="00BA0ADB" w:rsidRDefault="00BA0ADB" w:rsidP="00BA0ADB">
      <w:r>
        <w:t xml:space="preserve">Status: </w:t>
      </w:r>
      <w:r w:rsidRPr="008809D8">
        <w:rPr>
          <w:noProof/>
        </w:rPr>
        <w:t>Complete</w:t>
      </w:r>
    </w:p>
    <w:p w14:paraId="723527B4" w14:textId="44520426" w:rsidR="00BA0ADB" w:rsidRPr="00456DDB" w:rsidRDefault="00BA0ADB" w:rsidP="00BA0ADB">
      <w:pPr>
        <w:pStyle w:val="Heading3"/>
      </w:pPr>
      <w:r w:rsidRPr="00456DDB">
        <w:t>Action 1.2</w:t>
      </w:r>
    </w:p>
    <w:p w14:paraId="7F0D631C" w14:textId="1930F7E9" w:rsidR="00BA0ADB" w:rsidRPr="00BA0ADB" w:rsidRDefault="00BA0ADB" w:rsidP="00BA0ADB">
      <w:r>
        <w:t xml:space="preserve">Action Item: </w:t>
      </w:r>
      <w:r w:rsidRPr="004254E4">
        <w:t>Establish advisory working groups to accelerate consideration of complex policy issues.</w:t>
      </w:r>
    </w:p>
    <w:p w14:paraId="16A97C2C" w14:textId="449A89FE" w:rsidR="00BA0ADB" w:rsidRDefault="00BA0ADB" w:rsidP="00BA0ADB">
      <w:r>
        <w:t xml:space="preserve">Action </w:t>
      </w:r>
      <w:proofErr w:type="gramStart"/>
      <w:r>
        <w:t>lead</w:t>
      </w:r>
      <w:proofErr w:type="gramEnd"/>
      <w:r>
        <w:t xml:space="preserve"> (partners):</w:t>
      </w:r>
      <w:r w:rsidRPr="00BA0ADB">
        <w:t xml:space="preserve"> Austrade</w:t>
      </w:r>
    </w:p>
    <w:p w14:paraId="2300E43C" w14:textId="19B7E745" w:rsidR="00BA0ADB" w:rsidRPr="00BA0ADB" w:rsidRDefault="00BA0ADB" w:rsidP="00BA0ADB">
      <w:r>
        <w:t xml:space="preserve">Status: </w:t>
      </w:r>
      <w:r w:rsidRPr="00BA0ADB">
        <w:t>Complete</w:t>
      </w:r>
    </w:p>
    <w:p w14:paraId="3F5068A7" w14:textId="595D6CE8" w:rsidR="00BA0ADB" w:rsidRPr="00456DDB" w:rsidRDefault="00BA0ADB" w:rsidP="00BA0ADB">
      <w:pPr>
        <w:pStyle w:val="Heading3"/>
      </w:pPr>
      <w:r w:rsidRPr="00456DDB">
        <w:t>Action 1.3</w:t>
      </w:r>
    </w:p>
    <w:p w14:paraId="684477A0" w14:textId="394A5357" w:rsidR="00BA0ADB" w:rsidRPr="00BA0ADB" w:rsidRDefault="00BA0ADB" w:rsidP="00BA0ADB">
      <w:r>
        <w:t xml:space="preserve">Action Item: </w:t>
      </w:r>
      <w:r w:rsidRPr="00BA0ADB">
        <w:t>Maintain and enhance existing collaboration mechanisms such as the Tourism Ministers’ Meeting and the Australian Standing Committee on Tourism</w:t>
      </w:r>
      <w:r w:rsidR="00FC0CAB">
        <w:t>.</w:t>
      </w:r>
    </w:p>
    <w:p w14:paraId="25AE2DFC" w14:textId="4CE479AC" w:rsidR="00BA0ADB" w:rsidRDefault="00BA0ADB" w:rsidP="00BA0ADB">
      <w:r>
        <w:t xml:space="preserve">Action </w:t>
      </w:r>
      <w:proofErr w:type="gramStart"/>
      <w:r>
        <w:t>lead</w:t>
      </w:r>
      <w:proofErr w:type="gramEnd"/>
      <w:r>
        <w:t xml:space="preserve"> (partners):</w:t>
      </w:r>
      <w:r w:rsidRPr="00BA0ADB">
        <w:t xml:space="preserve"> Austrade, S&amp;TG</w:t>
      </w:r>
    </w:p>
    <w:p w14:paraId="2626F5DD" w14:textId="6624774E" w:rsidR="00BA0ADB" w:rsidRPr="00BA0ADB" w:rsidRDefault="00BA0ADB" w:rsidP="00BA0ADB">
      <w:r>
        <w:t xml:space="preserve">Status: </w:t>
      </w:r>
      <w:r w:rsidRPr="00BA0ADB">
        <w:t>Complete</w:t>
      </w:r>
    </w:p>
    <w:p w14:paraId="0E009070" w14:textId="1DB35C76" w:rsidR="00BA0ADB" w:rsidRPr="00456DDB" w:rsidRDefault="00BA0ADB" w:rsidP="00BA0ADB">
      <w:pPr>
        <w:pStyle w:val="Heading3"/>
      </w:pPr>
      <w:r w:rsidRPr="00456DDB">
        <w:lastRenderedPageBreak/>
        <w:t xml:space="preserve">Action 1.4 </w:t>
      </w:r>
    </w:p>
    <w:p w14:paraId="718432B2" w14:textId="5F1FA4CD" w:rsidR="00BA0ADB" w:rsidRPr="00BA0ADB" w:rsidRDefault="00BA0ADB" w:rsidP="00BA0ADB">
      <w:r>
        <w:t xml:space="preserve">Action Item: </w:t>
      </w:r>
      <w:r w:rsidRPr="00BA0ADB">
        <w:t>Establish a cross Australian Government Visitor Economy Taskforce comprising all agencies that contribute to the Strategy that will meet regularly to ensure delivery</w:t>
      </w:r>
      <w:r>
        <w:t>.</w:t>
      </w:r>
    </w:p>
    <w:p w14:paraId="7799B9B7" w14:textId="58B89C72" w:rsidR="00BA0ADB" w:rsidRDefault="00BA0ADB" w:rsidP="00BA0ADB">
      <w:r>
        <w:t xml:space="preserve">Action </w:t>
      </w:r>
      <w:proofErr w:type="gramStart"/>
      <w:r>
        <w:t>lead</w:t>
      </w:r>
      <w:proofErr w:type="gramEnd"/>
      <w:r>
        <w:t xml:space="preserve"> (partners):</w:t>
      </w:r>
      <w:r w:rsidRPr="00BA0ADB">
        <w:t xml:space="preserve"> Austrade (all relevant agencies)</w:t>
      </w:r>
    </w:p>
    <w:p w14:paraId="5F76A6C7" w14:textId="039C2A42" w:rsidR="00BA0ADB" w:rsidRPr="00BA0ADB" w:rsidRDefault="00BA0ADB" w:rsidP="00BA0ADB">
      <w:r>
        <w:t xml:space="preserve">Status: </w:t>
      </w:r>
      <w:r w:rsidRPr="00BA0ADB">
        <w:t>Complete</w:t>
      </w:r>
    </w:p>
    <w:p w14:paraId="7B46DF56" w14:textId="34FF0DE6" w:rsidR="00BA0ADB" w:rsidRPr="00456DDB" w:rsidRDefault="00BA0ADB" w:rsidP="00BA0ADB">
      <w:pPr>
        <w:pStyle w:val="Heading3"/>
      </w:pPr>
      <w:r w:rsidRPr="00456DDB">
        <w:t xml:space="preserve">Action 1.5 </w:t>
      </w:r>
    </w:p>
    <w:p w14:paraId="1E42B44D" w14:textId="0319CC32" w:rsidR="00BA0ADB" w:rsidRPr="00BA0ADB" w:rsidRDefault="00BA0ADB" w:rsidP="00BA0ADB">
      <w:r>
        <w:t xml:space="preserve">Action Item: </w:t>
      </w:r>
      <w:r w:rsidRPr="00BA0ADB">
        <w:t>Identify how to use existing cooperative mechanisms better or establish new mechanisms to plan and implement interregional marketing and development activities.</w:t>
      </w:r>
    </w:p>
    <w:p w14:paraId="000BB72F" w14:textId="23D58E37" w:rsidR="00BA0ADB" w:rsidRDefault="00BA0ADB" w:rsidP="00BA0ADB">
      <w:r>
        <w:t xml:space="preserve">Action </w:t>
      </w:r>
      <w:proofErr w:type="gramStart"/>
      <w:r>
        <w:t>lead</w:t>
      </w:r>
      <w:proofErr w:type="gramEnd"/>
      <w:r>
        <w:t xml:space="preserve"> (partners):</w:t>
      </w:r>
      <w:r w:rsidRPr="00BA0ADB">
        <w:t xml:space="preserve"> TA (S&amp;TG, RTOs, VE industry)</w:t>
      </w:r>
    </w:p>
    <w:p w14:paraId="4E549771" w14:textId="35E70087" w:rsidR="00BA0ADB" w:rsidRPr="00BA0ADB" w:rsidRDefault="00BA0ADB" w:rsidP="00BA0ADB">
      <w:r>
        <w:t xml:space="preserve">Status: </w:t>
      </w:r>
      <w:r>
        <w:rPr>
          <w:noProof/>
        </w:rPr>
        <w:t>Underway</w:t>
      </w:r>
    </w:p>
    <w:p w14:paraId="1E298AFC" w14:textId="427E36AF" w:rsidR="00BA0ADB" w:rsidRPr="00456DDB" w:rsidRDefault="00BA0ADB" w:rsidP="00BA0ADB">
      <w:pPr>
        <w:pStyle w:val="Heading3"/>
      </w:pPr>
      <w:r w:rsidRPr="00456DDB">
        <w:t>Action 1.6</w:t>
      </w:r>
    </w:p>
    <w:p w14:paraId="3B295FBD" w14:textId="7D59CDDF" w:rsidR="00BA0ADB" w:rsidRPr="00BA0ADB" w:rsidRDefault="00BA0ADB" w:rsidP="00BA0ADB">
      <w:r>
        <w:t xml:space="preserve">Action Item: </w:t>
      </w:r>
      <w:r w:rsidRPr="00BA0ADB">
        <w:t>Ensure that the visitor economy is considered and integrated into state and local crisis management and recovery plans.</w:t>
      </w:r>
    </w:p>
    <w:p w14:paraId="3D4AAD2D" w14:textId="2443FC43" w:rsidR="00BA0ADB" w:rsidRDefault="00BA0ADB" w:rsidP="00BA0ADB">
      <w:r>
        <w:t xml:space="preserve">Action </w:t>
      </w:r>
      <w:proofErr w:type="gramStart"/>
      <w:r>
        <w:t>lead</w:t>
      </w:r>
      <w:proofErr w:type="gramEnd"/>
      <w:r>
        <w:t xml:space="preserve"> (partners):</w:t>
      </w:r>
      <w:r w:rsidRPr="00BA0ADB">
        <w:t xml:space="preserve"> S&amp;TG (LG, NEMA)</w:t>
      </w:r>
    </w:p>
    <w:p w14:paraId="52D11BEE" w14:textId="2A677716" w:rsidR="00BA0ADB" w:rsidRPr="00BA0ADB" w:rsidRDefault="00BA0ADB" w:rsidP="00BA0ADB">
      <w:r>
        <w:t xml:space="preserve">Status: </w:t>
      </w:r>
      <w:r w:rsidRPr="00BA0ADB">
        <w:t>Underway</w:t>
      </w:r>
    </w:p>
    <w:p w14:paraId="73059671" w14:textId="03C01606" w:rsidR="00BA0ADB" w:rsidRPr="00456DDB" w:rsidRDefault="00BA0ADB" w:rsidP="00BA0ADB">
      <w:pPr>
        <w:pStyle w:val="Heading3"/>
      </w:pPr>
      <w:r w:rsidRPr="00456DDB">
        <w:t>Action 1.7</w:t>
      </w:r>
    </w:p>
    <w:p w14:paraId="6177DF46" w14:textId="28703E50" w:rsidR="00BA0ADB" w:rsidRPr="00BA0ADB" w:rsidRDefault="00BA0ADB" w:rsidP="00BA0ADB">
      <w:r>
        <w:t xml:space="preserve">Action Item: </w:t>
      </w:r>
      <w:r w:rsidRPr="00BA0ADB">
        <w:t xml:space="preserve">Establish an effective partnership of experienced appropriate parties to support the greater participation of First Nations cultures, </w:t>
      </w:r>
      <w:proofErr w:type="gramStart"/>
      <w:r w:rsidRPr="00BA0ADB">
        <w:t>interpretation</w:t>
      </w:r>
      <w:proofErr w:type="gramEnd"/>
      <w:r w:rsidRPr="00BA0ADB">
        <w:t xml:space="preserve"> and businesses into the visitor economy.</w:t>
      </w:r>
    </w:p>
    <w:p w14:paraId="4EBD69DA" w14:textId="12C35DED" w:rsidR="00BA0ADB" w:rsidRDefault="00BA0ADB" w:rsidP="00BA0ADB">
      <w:r>
        <w:t xml:space="preserve">Action </w:t>
      </w:r>
      <w:proofErr w:type="gramStart"/>
      <w:r>
        <w:t>lead</w:t>
      </w:r>
      <w:proofErr w:type="gramEnd"/>
      <w:r>
        <w:t xml:space="preserve"> (partners):</w:t>
      </w:r>
      <w:r w:rsidRPr="00BA0ADB">
        <w:t xml:space="preserve"> Austrade, NIAA (VE industry, TA, S&amp;TG)</w:t>
      </w:r>
    </w:p>
    <w:p w14:paraId="73716D37" w14:textId="0419BA95" w:rsidR="00BA0ADB" w:rsidRPr="00BA0ADB" w:rsidRDefault="00BA0ADB" w:rsidP="00BA0ADB">
      <w:r>
        <w:t xml:space="preserve">Status: </w:t>
      </w:r>
      <w:r w:rsidRPr="00BA0ADB">
        <w:t>Underway</w:t>
      </w:r>
    </w:p>
    <w:p w14:paraId="2103EC62" w14:textId="14D53F77" w:rsidR="00BA0ADB" w:rsidRPr="00456DDB" w:rsidRDefault="00BA0ADB" w:rsidP="00BA0ADB">
      <w:pPr>
        <w:pStyle w:val="Heading3"/>
      </w:pPr>
      <w:r w:rsidRPr="00456DDB">
        <w:t xml:space="preserve">Action 1.8 </w:t>
      </w:r>
    </w:p>
    <w:p w14:paraId="2C4857F9" w14:textId="7E44ACF6" w:rsidR="00BA0ADB" w:rsidRPr="00BA0ADB" w:rsidRDefault="00BA0ADB" w:rsidP="00BA0ADB">
      <w:r>
        <w:t xml:space="preserve">Action Item: </w:t>
      </w:r>
      <w:r w:rsidRPr="00BA0ADB">
        <w:t xml:space="preserve">Integrate Regional Development Australia, the local government </w:t>
      </w:r>
      <w:proofErr w:type="gramStart"/>
      <w:r w:rsidRPr="00BA0ADB">
        <w:t>sector</w:t>
      </w:r>
      <w:proofErr w:type="gramEnd"/>
      <w:r w:rsidRPr="00BA0ADB">
        <w:t xml:space="preserve"> and other appropriate existing mechanisms into the Strategy’s collaborative architecture to ensure a stronger engagement with the visitor economy at the regional and local level.</w:t>
      </w:r>
    </w:p>
    <w:p w14:paraId="6E63ACF1" w14:textId="11127D0B" w:rsidR="00BA0ADB" w:rsidRDefault="00BA0ADB" w:rsidP="00BA0ADB">
      <w:r>
        <w:t xml:space="preserve">Action </w:t>
      </w:r>
      <w:proofErr w:type="gramStart"/>
      <w:r>
        <w:t>lead</w:t>
      </w:r>
      <w:proofErr w:type="gramEnd"/>
      <w:r>
        <w:t xml:space="preserve"> (partners):</w:t>
      </w:r>
      <w:r w:rsidRPr="00BA0ADB">
        <w:t xml:space="preserve"> DITRDCA (RDA, LG, RTOs)</w:t>
      </w:r>
    </w:p>
    <w:p w14:paraId="1051C6E7" w14:textId="4061D0B9" w:rsidR="00BA0ADB" w:rsidRDefault="00BA0ADB" w:rsidP="00BA0ADB">
      <w:r>
        <w:t xml:space="preserve">Status: </w:t>
      </w:r>
      <w:r w:rsidRPr="00BA0ADB">
        <w:t>Underway</w:t>
      </w:r>
    </w:p>
    <w:p w14:paraId="7EA80CC4" w14:textId="3E0FE36C" w:rsidR="00BA0ADB" w:rsidRDefault="00CE5560" w:rsidP="00CE5560">
      <w:pPr>
        <w:spacing w:before="0" w:after="160" w:line="259" w:lineRule="auto"/>
      </w:pPr>
      <w:r>
        <w:br w:type="page"/>
      </w:r>
    </w:p>
    <w:p w14:paraId="337D0034" w14:textId="77777777" w:rsidR="00BA0ADB" w:rsidRDefault="00BA0ADB" w:rsidP="00BA0ADB">
      <w:pPr>
        <w:pStyle w:val="Heading2"/>
      </w:pPr>
      <w:r>
        <w:lastRenderedPageBreak/>
        <w:t xml:space="preserve">Priority 2: Improve data and </w:t>
      </w:r>
      <w:proofErr w:type="gramStart"/>
      <w:r>
        <w:t>insights</w:t>
      </w:r>
      <w:proofErr w:type="gramEnd"/>
    </w:p>
    <w:p w14:paraId="5D7D9CA3" w14:textId="77777777" w:rsidR="00BA0ADB" w:rsidRDefault="00BA0ADB" w:rsidP="00BA0ADB">
      <w:r>
        <w:t>References to tourism data tend to refer to official tourism statistics that are developed using long-term scientific methods and assurance processes. Notwithstanding this, there is a role for shorter-term data representations to illuminate topics of interest and/or indicate thematic trends. Short-term data outputs might include supply-side measurements related to aviation occupancy, employment, business counts and accommodation bookings. Conversely, the longer-term official statistics focus on measuring the demand side of the sector, namely, visitors.</w:t>
      </w:r>
    </w:p>
    <w:p w14:paraId="37C079EB" w14:textId="36EEF993" w:rsidR="00BA0ADB" w:rsidRDefault="00BA0ADB" w:rsidP="00BA0ADB">
      <w:r>
        <w:t xml:space="preserve">The formal THRIVE 2030 targets were developed using official statistics, and therefore concentrate on long-term demand. However, THRIVE 2030 also required the establishment of a data </w:t>
      </w:r>
      <w:proofErr w:type="gramStart"/>
      <w:r>
        <w:t>experts</w:t>
      </w:r>
      <w:proofErr w:type="gramEnd"/>
      <w:r>
        <w:t xml:space="preserve"> group, known as the IDEA Working Group, which was tasked with developing a set of progress indicators by which THRIVE 2030 and the Australian visitor economy could be monitored over time. In this way, THRIVE 2030 aims to bring together statistics and indicators, and short- and long-term data, into the same domain.</w:t>
      </w:r>
    </w:p>
    <w:p w14:paraId="2847D3CE" w14:textId="1F380895" w:rsidR="00BA0ADB" w:rsidRPr="00456DDB" w:rsidRDefault="00BA0ADB" w:rsidP="00324AE6">
      <w:pPr>
        <w:pStyle w:val="Heading3"/>
        <w:spacing w:before="0"/>
      </w:pPr>
      <w:r w:rsidRPr="00456DDB">
        <w:t>Action 2.1</w:t>
      </w:r>
    </w:p>
    <w:p w14:paraId="763899E7" w14:textId="069861E8" w:rsidR="00BA0ADB" w:rsidRDefault="00D8066D" w:rsidP="00BA0ADB">
      <w:r>
        <w:t xml:space="preserve">Action item: </w:t>
      </w:r>
      <w:r w:rsidRPr="00D8066D">
        <w:t>Establish an IDEA Working Group to identify the information needs of visitor economy participants which are not being met and potential methods to respond to those needs, assess those methods according to cost, contribution, capability, and potential yield, and, based on that analysis, make recommendations to Austrade.</w:t>
      </w:r>
    </w:p>
    <w:p w14:paraId="4D4BF090" w14:textId="73BEED85" w:rsidR="00D8066D" w:rsidRDefault="00D8066D" w:rsidP="00D8066D">
      <w:r>
        <w:t xml:space="preserve">Action </w:t>
      </w:r>
      <w:proofErr w:type="gramStart"/>
      <w:r>
        <w:t>lead</w:t>
      </w:r>
      <w:proofErr w:type="gramEnd"/>
      <w:r>
        <w:t xml:space="preserve"> (Partners): Austrade (S&amp;TG, VE industry)</w:t>
      </w:r>
    </w:p>
    <w:p w14:paraId="2A40538D" w14:textId="5691420D" w:rsidR="00D8066D" w:rsidRPr="00BA0ADB" w:rsidRDefault="00D8066D" w:rsidP="00BA0ADB">
      <w:r>
        <w:t xml:space="preserve">Status: </w:t>
      </w:r>
      <w:r w:rsidRPr="00D8066D">
        <w:t>Complete</w:t>
      </w:r>
    </w:p>
    <w:p w14:paraId="0DC7BCEF" w14:textId="45A67A44" w:rsidR="00BA0ADB" w:rsidRPr="00456DDB" w:rsidRDefault="00BA0ADB" w:rsidP="00BA0ADB">
      <w:pPr>
        <w:pStyle w:val="Heading3"/>
      </w:pPr>
      <w:r w:rsidRPr="00456DDB">
        <w:t>Action 2.2</w:t>
      </w:r>
    </w:p>
    <w:p w14:paraId="722CD10A" w14:textId="705F3F8C" w:rsidR="00D8066D" w:rsidRDefault="00D8066D" w:rsidP="00D8066D">
      <w:r>
        <w:t xml:space="preserve">Action item: </w:t>
      </w:r>
      <w:r w:rsidRPr="00D8066D">
        <w:t>Tourism Research Australia (TRA) to provide world-class relevant, robust, granular, and timely data and analytics.</w:t>
      </w:r>
    </w:p>
    <w:p w14:paraId="3C5C645E" w14:textId="187F4768" w:rsidR="00D8066D" w:rsidRDefault="00D8066D" w:rsidP="00D8066D">
      <w:r>
        <w:t xml:space="preserve">Action </w:t>
      </w:r>
      <w:proofErr w:type="gramStart"/>
      <w:r>
        <w:t>lead</w:t>
      </w:r>
      <w:proofErr w:type="gramEnd"/>
      <w:r>
        <w:t xml:space="preserve"> (Partners): </w:t>
      </w:r>
      <w:r w:rsidRPr="00D8066D">
        <w:t>Austrade</w:t>
      </w:r>
    </w:p>
    <w:p w14:paraId="3F834E2E" w14:textId="29CA6483" w:rsidR="00D8066D" w:rsidRPr="00BA0ADB" w:rsidRDefault="00D8066D" w:rsidP="00D8066D">
      <w:r>
        <w:t xml:space="preserve">Status: </w:t>
      </w:r>
      <w:r w:rsidRPr="00D8066D">
        <w:t>Underway</w:t>
      </w:r>
    </w:p>
    <w:p w14:paraId="7D1A22C6" w14:textId="753BED61" w:rsidR="00BA0ADB" w:rsidRPr="00456DDB" w:rsidRDefault="00BA0ADB" w:rsidP="00BA0ADB">
      <w:pPr>
        <w:pStyle w:val="Heading3"/>
      </w:pPr>
      <w:r w:rsidRPr="00456DDB">
        <w:t xml:space="preserve">Action 2.3 </w:t>
      </w:r>
    </w:p>
    <w:p w14:paraId="34E09281" w14:textId="77777777" w:rsidR="00831BED" w:rsidRDefault="00D8066D" w:rsidP="00D8066D">
      <w:r>
        <w:t xml:space="preserve">Action item: </w:t>
      </w:r>
    </w:p>
    <w:p w14:paraId="57875E04" w14:textId="77777777" w:rsidR="00831BED" w:rsidRDefault="00D8066D" w:rsidP="00831BED">
      <w:pPr>
        <w:pStyle w:val="NumberedList"/>
      </w:pPr>
      <w:r w:rsidRPr="00D8066D">
        <w:t xml:space="preserve">Develop new products aimed at the needs of </w:t>
      </w:r>
      <w:proofErr w:type="gramStart"/>
      <w:r w:rsidRPr="00D8066D">
        <w:t>particular segments</w:t>
      </w:r>
      <w:proofErr w:type="gramEnd"/>
      <w:r w:rsidRPr="00D8066D">
        <w:t xml:space="preserve"> of the sector.</w:t>
      </w:r>
      <w:r>
        <w:t xml:space="preserve"> </w:t>
      </w:r>
    </w:p>
    <w:p w14:paraId="3B082F5C" w14:textId="77777777" w:rsidR="00831BED" w:rsidRDefault="00D8066D" w:rsidP="00831BED">
      <w:pPr>
        <w:pStyle w:val="NumberedList"/>
      </w:pPr>
      <w:r w:rsidRPr="00D8066D">
        <w:t>Leverage existing data and ABS integration capabilities to support the production of research products.</w:t>
      </w:r>
      <w:r>
        <w:t xml:space="preserve"> </w:t>
      </w:r>
    </w:p>
    <w:p w14:paraId="50C7CF11" w14:textId="3BA16E10" w:rsidR="00D8066D" w:rsidRDefault="00D8066D" w:rsidP="00831BED">
      <w:pPr>
        <w:pStyle w:val="NumberedList"/>
      </w:pPr>
      <w:r w:rsidRPr="00D8066D">
        <w:t>Leverage new and existing data sets to measure the important economic contribution of business events to the visitor economy.</w:t>
      </w:r>
    </w:p>
    <w:p w14:paraId="474421A3" w14:textId="65AF0C63" w:rsidR="00D8066D" w:rsidRDefault="00D8066D" w:rsidP="00D8066D">
      <w:r>
        <w:t xml:space="preserve">Action </w:t>
      </w:r>
      <w:proofErr w:type="gramStart"/>
      <w:r>
        <w:t>lead</w:t>
      </w:r>
      <w:proofErr w:type="gramEnd"/>
      <w:r>
        <w:t xml:space="preserve"> (Partners): </w:t>
      </w:r>
      <w:r w:rsidRPr="004254E4">
        <w:t>Austrade, ABS</w:t>
      </w:r>
      <w:r>
        <w:t xml:space="preserve"> </w:t>
      </w:r>
    </w:p>
    <w:p w14:paraId="55A79A18" w14:textId="6CCFC2F0" w:rsidR="00D8066D" w:rsidRPr="00D8066D" w:rsidRDefault="00D8066D" w:rsidP="00D8066D">
      <w:r>
        <w:t xml:space="preserve">Status: </w:t>
      </w:r>
      <w:r w:rsidRPr="00FB1DF4">
        <w:rPr>
          <w:noProof/>
        </w:rPr>
        <w:t>Underway</w:t>
      </w:r>
    </w:p>
    <w:p w14:paraId="23C045BC" w14:textId="7C9E73AB" w:rsidR="00BA0ADB" w:rsidRPr="00456DDB" w:rsidRDefault="00BA0ADB" w:rsidP="00BA0ADB">
      <w:pPr>
        <w:pStyle w:val="Heading3"/>
      </w:pPr>
      <w:r w:rsidRPr="00456DDB">
        <w:lastRenderedPageBreak/>
        <w:t xml:space="preserve">Action 2.4 </w:t>
      </w:r>
    </w:p>
    <w:p w14:paraId="5036407D" w14:textId="60272FEF" w:rsidR="00D8066D" w:rsidRDefault="00D8066D" w:rsidP="00D8066D">
      <w:r>
        <w:t xml:space="preserve">Action item: </w:t>
      </w:r>
      <w:r w:rsidRPr="00D8066D">
        <w:t>Build a deeper understanding of the supply side requirements of the visitor economy through the development of a Longitudinal Indicators for the Visitor Economy (LIVE) framework to provide a more detailed picture of demand and supply side performance, incorporating leading and lagging performance indicators, and identify emerging challenges and opportunities for the industry (developed in partnership with IDEA Working Group).</w:t>
      </w:r>
    </w:p>
    <w:p w14:paraId="4C54DC38" w14:textId="499053BC" w:rsidR="00D8066D" w:rsidRDefault="00D8066D" w:rsidP="00D8066D">
      <w:r>
        <w:t xml:space="preserve">Action </w:t>
      </w:r>
      <w:proofErr w:type="gramStart"/>
      <w:r>
        <w:t>lead</w:t>
      </w:r>
      <w:proofErr w:type="gramEnd"/>
      <w:r>
        <w:t xml:space="preserve"> (Partners): </w:t>
      </w:r>
      <w:r w:rsidRPr="004254E4">
        <w:t>Austrade (S&amp;TG, VE industry)</w:t>
      </w:r>
    </w:p>
    <w:p w14:paraId="6E911DE4" w14:textId="62981F32" w:rsidR="00D8066D" w:rsidRPr="00BA0ADB" w:rsidRDefault="00D8066D" w:rsidP="00D8066D">
      <w:r>
        <w:t xml:space="preserve">Status: </w:t>
      </w:r>
      <w:r w:rsidRPr="00D8066D">
        <w:t>Underway</w:t>
      </w:r>
    </w:p>
    <w:p w14:paraId="515C4D7D" w14:textId="31C14C68" w:rsidR="00BA0ADB" w:rsidRPr="00456DDB" w:rsidRDefault="00BA0ADB" w:rsidP="00BA0ADB">
      <w:pPr>
        <w:pStyle w:val="Heading3"/>
      </w:pPr>
      <w:r w:rsidRPr="00456DDB">
        <w:t>Action 2.5</w:t>
      </w:r>
    </w:p>
    <w:p w14:paraId="4F3839F0" w14:textId="5F1644F9" w:rsidR="00D8066D" w:rsidRDefault="00D8066D" w:rsidP="00D8066D">
      <w:r>
        <w:t xml:space="preserve">Action item: </w:t>
      </w:r>
      <w:r w:rsidRPr="00D8066D">
        <w:t>Implement a visitor expenditure target specifically for regional Australia to help drive and monitor visitor economy growth in regional Australia.</w:t>
      </w:r>
    </w:p>
    <w:p w14:paraId="3B137D8F" w14:textId="512C3026" w:rsidR="00D8066D" w:rsidRDefault="00D8066D" w:rsidP="00D8066D">
      <w:r>
        <w:t xml:space="preserve">Action </w:t>
      </w:r>
      <w:proofErr w:type="gramStart"/>
      <w:r>
        <w:t>lead</w:t>
      </w:r>
      <w:proofErr w:type="gramEnd"/>
      <w:r>
        <w:t xml:space="preserve"> (Partners): </w:t>
      </w:r>
      <w:r w:rsidRPr="004254E4">
        <w:t>Austrade</w:t>
      </w:r>
    </w:p>
    <w:p w14:paraId="63C9C931" w14:textId="10CA209D" w:rsidR="00D8066D" w:rsidRPr="00D8066D" w:rsidRDefault="00D8066D" w:rsidP="00D8066D">
      <w:r>
        <w:t xml:space="preserve">Status: </w:t>
      </w:r>
      <w:r w:rsidRPr="00D8066D">
        <w:t>Complete</w:t>
      </w:r>
    </w:p>
    <w:p w14:paraId="488135B4" w14:textId="2C51D347" w:rsidR="00BA0ADB" w:rsidRPr="00456DDB" w:rsidRDefault="00BA0ADB" w:rsidP="00BA0ADB">
      <w:pPr>
        <w:pStyle w:val="Heading3"/>
      </w:pPr>
      <w:r w:rsidRPr="00456DDB">
        <w:t xml:space="preserve">Action 2.6 </w:t>
      </w:r>
    </w:p>
    <w:p w14:paraId="3F479B09" w14:textId="76DF07B0" w:rsidR="00D8066D" w:rsidRDefault="00D8066D" w:rsidP="00D8066D">
      <w:r>
        <w:t xml:space="preserve">Action item: </w:t>
      </w:r>
      <w:r w:rsidRPr="00D8066D">
        <w:t xml:space="preserve">Conduct a study of the architecture of the visitor economy to better understand its structures, systems and supply chain components, and make recommendations for improvements within </w:t>
      </w:r>
      <w:proofErr w:type="gramStart"/>
      <w:r w:rsidRPr="00D8066D">
        <w:t>industry’s</w:t>
      </w:r>
      <w:proofErr w:type="gramEnd"/>
      <w:r w:rsidRPr="00D8066D">
        <w:t xml:space="preserve"> and governments’ control that will support improved resilience and sustainable growth.</w:t>
      </w:r>
    </w:p>
    <w:p w14:paraId="39137C1D" w14:textId="7F6B5FD7" w:rsidR="00D8066D" w:rsidRDefault="00D8066D" w:rsidP="00D8066D">
      <w:r>
        <w:t xml:space="preserve">Action </w:t>
      </w:r>
      <w:proofErr w:type="gramStart"/>
      <w:r>
        <w:t>lead</w:t>
      </w:r>
      <w:proofErr w:type="gramEnd"/>
      <w:r>
        <w:t xml:space="preserve"> (Partners): </w:t>
      </w:r>
      <w:r w:rsidRPr="00D8066D">
        <w:t>Austrade</w:t>
      </w:r>
    </w:p>
    <w:p w14:paraId="63B559EC" w14:textId="69560012" w:rsidR="00D8066D" w:rsidRDefault="00D8066D" w:rsidP="00D8066D">
      <w:r>
        <w:t xml:space="preserve">Status: </w:t>
      </w:r>
      <w:r w:rsidRPr="00D8066D">
        <w:t>Pending</w:t>
      </w:r>
    </w:p>
    <w:p w14:paraId="234DA82E" w14:textId="77777777" w:rsidR="00D8066D" w:rsidRDefault="00D8066D">
      <w:pPr>
        <w:spacing w:before="0" w:after="160" w:line="259" w:lineRule="auto"/>
      </w:pPr>
      <w:r>
        <w:br w:type="page"/>
      </w:r>
    </w:p>
    <w:p w14:paraId="55F8835B" w14:textId="77777777" w:rsidR="00D8066D" w:rsidRDefault="00D8066D" w:rsidP="00D8066D">
      <w:pPr>
        <w:pStyle w:val="Heading2"/>
      </w:pPr>
      <w:r>
        <w:lastRenderedPageBreak/>
        <w:t xml:space="preserve">Priority 3: Grow a secure and resilient </w:t>
      </w:r>
      <w:proofErr w:type="gramStart"/>
      <w:r>
        <w:t>workforce</w:t>
      </w:r>
      <w:proofErr w:type="gramEnd"/>
    </w:p>
    <w:p w14:paraId="39D41AF1" w14:textId="77777777" w:rsidR="00D8066D" w:rsidRDefault="00D8066D" w:rsidP="00D8066D">
      <w:r>
        <w:t>Workforce and skills shortages were identified by industry and noted in THRIVE 2030 as one of the significant barriers to visitor economy recovery and long-term growth for businesses to meet demand from international and domestic travellers. Many actions are in progress. Long-term improvements that are underway include funding a tourism-wide employment and development platform, expansion of the Pacific Australia Labour Mobility (PALM) visa scheme, the Disability Employment Local Tourism Navigators Pilot, and the Australian Government funding fee-free tourism and hospitality TAFE courses.</w:t>
      </w:r>
    </w:p>
    <w:p w14:paraId="3B81458D" w14:textId="191A7275" w:rsidR="00D8066D" w:rsidRDefault="00D8066D" w:rsidP="00D8066D">
      <w:r>
        <w:t xml:space="preserve">Workforce issues are being examined across Government through an Employment White Paper process (led by Treasury) and a review of Australia’s Migration System (led by the Department of Home Affairs (Home Affairs)). </w:t>
      </w:r>
      <w:proofErr w:type="gramStart"/>
      <w:r>
        <w:t>In light of</w:t>
      </w:r>
      <w:proofErr w:type="gramEnd"/>
      <w:r>
        <w:t xml:space="preserve"> these reviews, the Workforce and Skills Working Group is overseeing the development of an Interim Action Plan to address workforce issues in the short term. This will serve as a bridging document towards the development of a long-term Visitor Economy workforce strategy, which will be aligned with the outcomes of the Employment White Paper (due to be released September 2023).</w:t>
      </w:r>
    </w:p>
    <w:p w14:paraId="48364B24" w14:textId="04BC48BE" w:rsidR="00D8066D" w:rsidRPr="00456DDB" w:rsidRDefault="00D8066D" w:rsidP="00D8066D">
      <w:pPr>
        <w:pStyle w:val="Heading3"/>
      </w:pPr>
      <w:r w:rsidRPr="00456DDB">
        <w:t>Action 3.1</w:t>
      </w:r>
    </w:p>
    <w:p w14:paraId="60B55B4C" w14:textId="1C0688FF" w:rsidR="00D8066D" w:rsidRDefault="00D8066D" w:rsidP="00D8066D">
      <w:r>
        <w:t>Action item:</w:t>
      </w:r>
      <w:r w:rsidR="00456DDB" w:rsidRPr="00456DDB">
        <w:t xml:space="preserve"> Establish a Workforce and Skills Working Group comprising key policy agencies, industry experts and relevant representatives to identify gaps and provide practical immediate solutions to address the current workforce </w:t>
      </w:r>
      <w:proofErr w:type="gramStart"/>
      <w:r w:rsidR="00456DDB" w:rsidRPr="00456DDB">
        <w:t>challenges, and</w:t>
      </w:r>
      <w:proofErr w:type="gramEnd"/>
      <w:r w:rsidR="00456DDB" w:rsidRPr="00456DDB">
        <w:t xml:space="preserve"> support the development of the future needs of the visitor economy workforce. </w:t>
      </w:r>
      <w:r>
        <w:t xml:space="preserve"> </w:t>
      </w:r>
    </w:p>
    <w:p w14:paraId="56524A49" w14:textId="112C9D9B" w:rsidR="00456DDB" w:rsidRDefault="00D8066D" w:rsidP="00456DDB">
      <w:r>
        <w:t xml:space="preserve">Action </w:t>
      </w:r>
      <w:proofErr w:type="gramStart"/>
      <w:r>
        <w:t>lead</w:t>
      </w:r>
      <w:proofErr w:type="gramEnd"/>
      <w:r>
        <w:t xml:space="preserve"> (Partner</w:t>
      </w:r>
      <w:r w:rsidR="00456DDB">
        <w:t>s</w:t>
      </w:r>
      <w:r>
        <w:t>)</w:t>
      </w:r>
      <w:r w:rsidR="00456DDB">
        <w:t>: Austrade (S&amp;TG, VE industry)</w:t>
      </w:r>
    </w:p>
    <w:p w14:paraId="3CF4D277" w14:textId="5BF6FE47" w:rsidR="00D8066D" w:rsidRPr="00D8066D" w:rsidRDefault="00456DDB" w:rsidP="00D8066D">
      <w:r>
        <w:t xml:space="preserve">Status: </w:t>
      </w:r>
      <w:r>
        <w:rPr>
          <w:noProof/>
        </w:rPr>
        <w:t>Complete</w:t>
      </w:r>
    </w:p>
    <w:p w14:paraId="0AF4F1A8" w14:textId="1C703EBD" w:rsidR="00D8066D" w:rsidRDefault="00D8066D" w:rsidP="00D8066D">
      <w:pPr>
        <w:pStyle w:val="Heading3"/>
      </w:pPr>
      <w:r w:rsidRPr="00456DDB">
        <w:t>Action 3.2</w:t>
      </w:r>
    </w:p>
    <w:p w14:paraId="3E26CC14" w14:textId="77777777" w:rsidR="00831BED" w:rsidRDefault="00456DDB" w:rsidP="00456DDB">
      <w:r>
        <w:t xml:space="preserve">Action item: </w:t>
      </w:r>
    </w:p>
    <w:p w14:paraId="50CB8F27" w14:textId="2CBE8D2B" w:rsidR="00257C7E" w:rsidRDefault="00456DDB" w:rsidP="00257C7E">
      <w:pPr>
        <w:pStyle w:val="NumberedList"/>
        <w:numPr>
          <w:ilvl w:val="0"/>
          <w:numId w:val="10"/>
        </w:numPr>
      </w:pPr>
      <w:r w:rsidRPr="00456DDB">
        <w:t>Develop a Visitor Economy Workforce and Skills strategy in response to ongoing workforce pressures exacerbated by the COVID-19 pandemic to strengthen the visitor economy’s workforce, drawing on research to better understand the gaps, barriers and future needs of the visitor economy workforce, and related initiatives being implemented by state and territory governments.</w:t>
      </w:r>
    </w:p>
    <w:p w14:paraId="30505C03" w14:textId="2863814D" w:rsidR="00257C7E" w:rsidRDefault="00257C7E" w:rsidP="00257C7E">
      <w:r>
        <w:t xml:space="preserve">Action </w:t>
      </w:r>
      <w:proofErr w:type="gramStart"/>
      <w:r>
        <w:t>lead</w:t>
      </w:r>
      <w:proofErr w:type="gramEnd"/>
      <w:r>
        <w:t xml:space="preserve"> (Partners): Austrade (S&amp;TG), ABS</w:t>
      </w:r>
    </w:p>
    <w:p w14:paraId="676CA844" w14:textId="77777777" w:rsidR="00831BED" w:rsidRDefault="00831BED" w:rsidP="00831BED">
      <w:pPr>
        <w:pStyle w:val="NumberedList"/>
      </w:pPr>
      <w:r w:rsidRPr="00456DDB">
        <w:t xml:space="preserve">ABS will deliver a comprehensive update to the </w:t>
      </w:r>
      <w:r w:rsidRPr="0087451A">
        <w:rPr>
          <w:i/>
          <w:iCs/>
        </w:rPr>
        <w:t>Australian and</w:t>
      </w:r>
      <w:r w:rsidRPr="00456DDB">
        <w:t xml:space="preserve"> </w:t>
      </w:r>
      <w:r w:rsidRPr="00722871">
        <w:rPr>
          <w:i/>
          <w:iCs/>
        </w:rPr>
        <w:t>New Zealand Standard Classification of Occupations</w:t>
      </w:r>
      <w:r w:rsidRPr="00456DDB">
        <w:t xml:space="preserve"> by December 2024, and then commence a rolling program of work to maintain the currency of this classification. Over time this will assist in better identifying visitor economy occupations and their skill levels and assist training products and visa settings to better meet needs of the visitor economy.</w:t>
      </w:r>
    </w:p>
    <w:p w14:paraId="785753F0" w14:textId="23B691EB" w:rsidR="00257C7E" w:rsidRDefault="00257C7E" w:rsidP="00257C7E">
      <w:r>
        <w:lastRenderedPageBreak/>
        <w:t xml:space="preserve">Action </w:t>
      </w:r>
      <w:proofErr w:type="gramStart"/>
      <w:r>
        <w:t>lead</w:t>
      </w:r>
      <w:proofErr w:type="gramEnd"/>
      <w:r>
        <w:t xml:space="preserve"> (Partners): </w:t>
      </w:r>
      <w:r w:rsidR="00E430D6">
        <w:t xml:space="preserve">ABS </w:t>
      </w:r>
    </w:p>
    <w:p w14:paraId="0E582ABF" w14:textId="712A8A45" w:rsidR="00831BED" w:rsidRDefault="00831BED" w:rsidP="00831BED">
      <w:pPr>
        <w:pStyle w:val="NumberedList"/>
      </w:pPr>
      <w:r w:rsidRPr="00456DDB">
        <w:t>Australian Chamber – Tourism, in conjunction with Tourism Training Australia, will continue to implement a Workforce Development Strategy that sets out the industry priorities for workforce development.</w:t>
      </w:r>
    </w:p>
    <w:p w14:paraId="1DF8F2D2" w14:textId="0444323B" w:rsidR="00E430D6" w:rsidRDefault="00E430D6" w:rsidP="00E430D6">
      <w:r>
        <w:t xml:space="preserve">Action </w:t>
      </w:r>
      <w:proofErr w:type="gramStart"/>
      <w:r>
        <w:t>lead</w:t>
      </w:r>
      <w:proofErr w:type="gramEnd"/>
      <w:r>
        <w:t xml:space="preserve"> (Partners): Australian Chamber – Tourism </w:t>
      </w:r>
    </w:p>
    <w:p w14:paraId="42C62AA1" w14:textId="3358632F" w:rsidR="00456DDB" w:rsidRDefault="00456DDB" w:rsidP="00456DDB">
      <w:r>
        <w:t>Status: Underway</w:t>
      </w:r>
    </w:p>
    <w:p w14:paraId="063F2FCF" w14:textId="699F3E70" w:rsidR="00D8066D" w:rsidRDefault="00D8066D" w:rsidP="00D8066D">
      <w:pPr>
        <w:pStyle w:val="Heading3"/>
      </w:pPr>
      <w:r w:rsidRPr="00456DDB">
        <w:t>Action 3.3</w:t>
      </w:r>
    </w:p>
    <w:p w14:paraId="64CDEACF" w14:textId="77777777" w:rsidR="00A44F06" w:rsidRDefault="00456DDB" w:rsidP="00456DDB">
      <w:r>
        <w:t xml:space="preserve">Action item: </w:t>
      </w:r>
    </w:p>
    <w:p w14:paraId="1D576FE6" w14:textId="77777777" w:rsidR="00E430D6" w:rsidRDefault="00456DDB" w:rsidP="00831BED">
      <w:pPr>
        <w:pStyle w:val="NumberedList"/>
        <w:numPr>
          <w:ilvl w:val="0"/>
          <w:numId w:val="11"/>
        </w:numPr>
      </w:pPr>
      <w:r w:rsidRPr="004254E4">
        <w:t>Increase workforce participation from under-participating cohorts, including mature workers, First Nations peoples, people with disability, youth, and women, especially in regional areas.</w:t>
      </w:r>
      <w:r w:rsidR="004F7EEA">
        <w:t xml:space="preserve"> </w:t>
      </w:r>
    </w:p>
    <w:p w14:paraId="21059A54" w14:textId="2AE48F3A" w:rsidR="00456DDB" w:rsidRDefault="00EE6EE7" w:rsidP="00E430D6">
      <w:r w:rsidRPr="000D173C">
        <w:t xml:space="preserve">Action </w:t>
      </w:r>
      <w:proofErr w:type="gramStart"/>
      <w:r w:rsidR="004F7EEA" w:rsidRPr="000D173C">
        <w:t>Lead</w:t>
      </w:r>
      <w:proofErr w:type="gramEnd"/>
      <w:r w:rsidRPr="000D173C">
        <w:t xml:space="preserve"> (Partners)</w:t>
      </w:r>
      <w:r w:rsidR="000B33BE" w:rsidRPr="000D173C">
        <w:t xml:space="preserve">: DEWR, </w:t>
      </w:r>
      <w:r w:rsidRPr="000D173C">
        <w:t>DSS, Austrade (S&amp;TG, NIAA, VE industry including AAoA)</w:t>
      </w:r>
    </w:p>
    <w:p w14:paraId="6019022A" w14:textId="68AE99A3" w:rsidR="00A44F06" w:rsidRDefault="00A44F06" w:rsidP="5B716C6F">
      <w:pPr>
        <w:pStyle w:val="NumberedList"/>
      </w:pPr>
      <w:r>
        <w:t>Leverage Government employment programs to support pathways to employment for First Nations Australians.</w:t>
      </w:r>
    </w:p>
    <w:p w14:paraId="2F81ADE1" w14:textId="3E97C030" w:rsidR="000614DA" w:rsidRDefault="000614DA" w:rsidP="000614DA">
      <w:r>
        <w:t xml:space="preserve">Action </w:t>
      </w:r>
      <w:proofErr w:type="gramStart"/>
      <w:r>
        <w:t>lead</w:t>
      </w:r>
      <w:proofErr w:type="gramEnd"/>
      <w:r>
        <w:t xml:space="preserve"> (Partners): NIAA</w:t>
      </w:r>
    </w:p>
    <w:p w14:paraId="30792B52" w14:textId="54918D7B" w:rsidR="00A44F06" w:rsidRDefault="00A44F06" w:rsidP="00A44F06">
      <w:pPr>
        <w:pStyle w:val="NumberedList"/>
      </w:pPr>
      <w:r>
        <w:t>Support people living with disability with employment opportunities in the visitor economy, including through a pilot program to facilitate people with disability into the visitor economy workforce.</w:t>
      </w:r>
    </w:p>
    <w:p w14:paraId="076CB8C8" w14:textId="0C9712CC" w:rsidR="000614DA" w:rsidRDefault="000614DA" w:rsidP="000614DA">
      <w:r>
        <w:t xml:space="preserve">Action </w:t>
      </w:r>
      <w:proofErr w:type="gramStart"/>
      <w:r>
        <w:t>lead</w:t>
      </w:r>
      <w:proofErr w:type="gramEnd"/>
      <w:r>
        <w:t xml:space="preserve"> (Partners): DSS (Austrade, DEWR), Clubs Australia </w:t>
      </w:r>
    </w:p>
    <w:p w14:paraId="3385AD94" w14:textId="0D7EB568" w:rsidR="000614DA" w:rsidRDefault="00831BED" w:rsidP="000614DA">
      <w:pPr>
        <w:pStyle w:val="NumberedList"/>
      </w:pPr>
      <w:r>
        <w:t>Supports eligible job seekers with tailored assistance to find sustainable employment including through Workforce Australia Services, Transition to Work, and Launch into Work employment programs.</w:t>
      </w:r>
      <w:r w:rsidR="000614DA">
        <w:t xml:space="preserve"> </w:t>
      </w:r>
    </w:p>
    <w:p w14:paraId="2AC96A37" w14:textId="0BFC8F7C" w:rsidR="00831BED" w:rsidRDefault="00831BED" w:rsidP="00A44F06">
      <w:pPr>
        <w:pStyle w:val="NumberedList"/>
      </w:pPr>
      <w:r>
        <w:t>Maintain services that connect people wishing to work in regions with job vacancies, reskilling support, and relocation advice including through the Local Jobs Program.</w:t>
      </w:r>
    </w:p>
    <w:p w14:paraId="3671C2DE" w14:textId="454D823C" w:rsidR="00831BED" w:rsidRDefault="00831BED" w:rsidP="00A44F06">
      <w:pPr>
        <w:pStyle w:val="NumberedList"/>
      </w:pPr>
      <w:r>
        <w:t>Encourage local job creation through business start-up and self-employment advisory services for new and existing small businesses through the Entrepreneurship Facilitators and Self- Employment Assistance program.</w:t>
      </w:r>
    </w:p>
    <w:p w14:paraId="4ADA3107" w14:textId="639707A8" w:rsidR="000614DA" w:rsidRDefault="000614DA" w:rsidP="000614DA">
      <w:r>
        <w:t xml:space="preserve">Action </w:t>
      </w:r>
      <w:proofErr w:type="gramStart"/>
      <w:r>
        <w:t>lead</w:t>
      </w:r>
      <w:proofErr w:type="gramEnd"/>
      <w:r>
        <w:t xml:space="preserve"> (Partners): DEWR</w:t>
      </w:r>
    </w:p>
    <w:p w14:paraId="481C018E" w14:textId="75748FBB" w:rsidR="00831BED" w:rsidRDefault="00831BED" w:rsidP="00A44F06">
      <w:pPr>
        <w:pStyle w:val="NumberedList"/>
      </w:pPr>
      <w:r>
        <w:t>Support tourism and hospitality employers to develop long-lasting workforce solutions through the Accommodation Association of Australia’s ‘The Hub’ and the Government’s Employer Liaison Officer.</w:t>
      </w:r>
    </w:p>
    <w:p w14:paraId="3DA9AFC3" w14:textId="74EF28B1" w:rsidR="000614DA" w:rsidRDefault="000614DA" w:rsidP="000614DA">
      <w:r>
        <w:t xml:space="preserve">Action </w:t>
      </w:r>
      <w:proofErr w:type="gramStart"/>
      <w:r>
        <w:t>lead</w:t>
      </w:r>
      <w:proofErr w:type="gramEnd"/>
      <w:r>
        <w:t xml:space="preserve"> (Partners): VE industry, including AAoA and Clubs Australia</w:t>
      </w:r>
    </w:p>
    <w:p w14:paraId="55E1D44B" w14:textId="72791C0F" w:rsidR="00046C25" w:rsidRDefault="0028075F" w:rsidP="00046C25">
      <w:pPr>
        <w:pStyle w:val="NumberedList"/>
      </w:pPr>
      <w:r w:rsidRPr="004254E4">
        <w:t>Ensure policy settings are right and improve awareness of the Pension Work Bonus to encourage more retired workers to undertake part-time work in the visitor economy.</w:t>
      </w:r>
    </w:p>
    <w:p w14:paraId="390857FA" w14:textId="593FC260" w:rsidR="0028075F" w:rsidRDefault="0028075F" w:rsidP="0028075F">
      <w:r>
        <w:t xml:space="preserve">Action </w:t>
      </w:r>
      <w:proofErr w:type="gramStart"/>
      <w:r>
        <w:t>lead</w:t>
      </w:r>
      <w:proofErr w:type="gramEnd"/>
      <w:r>
        <w:t xml:space="preserve"> (Partners): DSS</w:t>
      </w:r>
    </w:p>
    <w:p w14:paraId="331C3BB3" w14:textId="19E44D50" w:rsidR="0028075F" w:rsidRDefault="00555BF2" w:rsidP="0028075F">
      <w:pPr>
        <w:pStyle w:val="NumberedList"/>
      </w:pPr>
      <w:r w:rsidRPr="004254E4">
        <w:lastRenderedPageBreak/>
        <w:t>Leverage the Fee Free TAFE initiative, which includes hospitality and tourism as an area of national priority for skills and development.</w:t>
      </w:r>
    </w:p>
    <w:p w14:paraId="423BF883" w14:textId="2458261E" w:rsidR="00555BF2" w:rsidRDefault="00555BF2" w:rsidP="00555BF2">
      <w:r>
        <w:t xml:space="preserve">Action </w:t>
      </w:r>
      <w:proofErr w:type="gramStart"/>
      <w:r>
        <w:t>lead</w:t>
      </w:r>
      <w:proofErr w:type="gramEnd"/>
      <w:r>
        <w:t xml:space="preserve"> (Partners): DEWR</w:t>
      </w:r>
    </w:p>
    <w:p w14:paraId="76D0601C" w14:textId="4CA18F9F" w:rsidR="00555BF2" w:rsidRDefault="00D40A57" w:rsidP="00555BF2">
      <w:pPr>
        <w:pStyle w:val="NumberedList"/>
      </w:pPr>
      <w:r w:rsidRPr="004254E4">
        <w:t>Ensure access to the National Careers Institute, which assists people with careers information and support, whatever their age or career stage.</w:t>
      </w:r>
    </w:p>
    <w:p w14:paraId="1B9859C1" w14:textId="77777777" w:rsidR="00D40A57" w:rsidRDefault="00D40A57" w:rsidP="00D40A57">
      <w:r>
        <w:t xml:space="preserve">Action </w:t>
      </w:r>
      <w:proofErr w:type="gramStart"/>
      <w:r>
        <w:t>lead</w:t>
      </w:r>
      <w:proofErr w:type="gramEnd"/>
      <w:r>
        <w:t xml:space="preserve"> (Partners): DEWR</w:t>
      </w:r>
    </w:p>
    <w:p w14:paraId="32819774" w14:textId="0BC66A1F" w:rsidR="00A44F06" w:rsidRPr="00456DDB" w:rsidRDefault="00A44F06" w:rsidP="000614DA">
      <w:r>
        <w:t xml:space="preserve">Status: </w:t>
      </w:r>
      <w:r w:rsidRPr="00A44F06">
        <w:t>Underway</w:t>
      </w:r>
    </w:p>
    <w:p w14:paraId="1F61EAD1" w14:textId="7510FD2F" w:rsidR="00D8066D" w:rsidRDefault="00D8066D" w:rsidP="00D8066D">
      <w:pPr>
        <w:pStyle w:val="Heading3"/>
      </w:pPr>
      <w:r w:rsidRPr="00456DDB">
        <w:t>Action 3.4</w:t>
      </w:r>
    </w:p>
    <w:p w14:paraId="5EDB6ED4" w14:textId="77777777" w:rsidR="00831BED" w:rsidRDefault="00A44F06" w:rsidP="00A44F06">
      <w:r>
        <w:t xml:space="preserve">Action item: </w:t>
      </w:r>
    </w:p>
    <w:p w14:paraId="361EC7B6" w14:textId="5A61392E" w:rsidR="00A44F06" w:rsidRDefault="00A44F06" w:rsidP="00831BED">
      <w:pPr>
        <w:pStyle w:val="NumberedList"/>
        <w:numPr>
          <w:ilvl w:val="0"/>
          <w:numId w:val="12"/>
        </w:numPr>
      </w:pPr>
      <w:r w:rsidRPr="00A44F06">
        <w:t>Review the Working Holiday Maker scheme to increase the pool of potential workers.</w:t>
      </w:r>
    </w:p>
    <w:p w14:paraId="0284F931" w14:textId="46C6A99D" w:rsidR="000614DA" w:rsidRDefault="000614DA" w:rsidP="000614DA">
      <w:r>
        <w:t xml:space="preserve">Action </w:t>
      </w:r>
      <w:proofErr w:type="gramStart"/>
      <w:r>
        <w:t>lead</w:t>
      </w:r>
      <w:proofErr w:type="gramEnd"/>
      <w:r>
        <w:t xml:space="preserve"> (Partners): Home Affairs</w:t>
      </w:r>
    </w:p>
    <w:p w14:paraId="5DDD5F58" w14:textId="2ADCE868" w:rsidR="00831BED" w:rsidRDefault="00831BED" w:rsidP="00831BED">
      <w:pPr>
        <w:pStyle w:val="NumberedList"/>
        <w:numPr>
          <w:ilvl w:val="0"/>
          <w:numId w:val="12"/>
        </w:numPr>
      </w:pPr>
      <w:r w:rsidRPr="00A44F06">
        <w:t>Undertake a promotional campaign to coordinate Australian employers to refund Working Holiday Maker Visa fees.</w:t>
      </w:r>
    </w:p>
    <w:p w14:paraId="703D7929" w14:textId="7D36BA2B" w:rsidR="000614DA" w:rsidRDefault="000614DA" w:rsidP="000614DA">
      <w:r>
        <w:t xml:space="preserve">Action </w:t>
      </w:r>
      <w:proofErr w:type="gramStart"/>
      <w:r>
        <w:t>lead</w:t>
      </w:r>
      <w:proofErr w:type="gramEnd"/>
      <w:r>
        <w:t xml:space="preserve"> (Partners): VE industry, including Australia Chamber – Tourism </w:t>
      </w:r>
    </w:p>
    <w:p w14:paraId="01A7B7B7" w14:textId="65E075ED" w:rsidR="00831BED" w:rsidRDefault="00831BED" w:rsidP="00831BED">
      <w:pPr>
        <w:pStyle w:val="NumberedList"/>
        <w:numPr>
          <w:ilvl w:val="0"/>
          <w:numId w:val="12"/>
        </w:numPr>
      </w:pPr>
      <w:r w:rsidRPr="00A44F06">
        <w:t>Increase the number of working holiday makers through age increases in the uncapped Working Holiday (subclass 417) visa program and through new partner country arrangements and cap increases in the capped Work and Holiday (subclass 462) program.</w:t>
      </w:r>
    </w:p>
    <w:p w14:paraId="55E06B08" w14:textId="047BAB30" w:rsidR="00A44F06" w:rsidRDefault="00A44F06" w:rsidP="00A44F06">
      <w:r>
        <w:t xml:space="preserve">Action </w:t>
      </w:r>
      <w:proofErr w:type="gramStart"/>
      <w:r>
        <w:t>lead</w:t>
      </w:r>
      <w:proofErr w:type="gramEnd"/>
      <w:r>
        <w:t xml:space="preserve"> (Partners): </w:t>
      </w:r>
      <w:r w:rsidRPr="00A44F06">
        <w:t>Home Affairs</w:t>
      </w:r>
    </w:p>
    <w:p w14:paraId="248FFE0B" w14:textId="77777777" w:rsidR="00A44F06" w:rsidRPr="00456DDB" w:rsidRDefault="00A44F06" w:rsidP="00A44F06">
      <w:r>
        <w:t xml:space="preserve">Status: </w:t>
      </w:r>
      <w:r w:rsidRPr="00A44F06">
        <w:t>Underway</w:t>
      </w:r>
    </w:p>
    <w:p w14:paraId="1F0DA86A" w14:textId="5CAC5FB2" w:rsidR="00D8066D" w:rsidRDefault="00D8066D" w:rsidP="00D8066D">
      <w:pPr>
        <w:pStyle w:val="Heading3"/>
      </w:pPr>
      <w:r w:rsidRPr="00456DDB">
        <w:t>Action 3.5</w:t>
      </w:r>
    </w:p>
    <w:p w14:paraId="01F0F930" w14:textId="79A292C5" w:rsidR="00A44F06" w:rsidRDefault="00A44F06" w:rsidP="00A44F06">
      <w:r>
        <w:t xml:space="preserve">Action item: </w:t>
      </w:r>
      <w:r w:rsidRPr="00A44F06">
        <w:t>Home Affairs is prioritising the processing of student visa applications, along with other priority economic migrants, particularly from those who are offshore to enable them to enter Australia and contribute to Australia’s economic recovery.</w:t>
      </w:r>
    </w:p>
    <w:p w14:paraId="3F337A05" w14:textId="3A53DBF4" w:rsidR="00A44F06" w:rsidRDefault="00A44F06" w:rsidP="00A44F06">
      <w:r>
        <w:t xml:space="preserve">Action </w:t>
      </w:r>
      <w:proofErr w:type="gramStart"/>
      <w:r>
        <w:t>lead</w:t>
      </w:r>
      <w:proofErr w:type="gramEnd"/>
      <w:r>
        <w:t xml:space="preserve"> (Partners): </w:t>
      </w:r>
      <w:r w:rsidRPr="00A44F06">
        <w:t>Home Affairs</w:t>
      </w:r>
    </w:p>
    <w:p w14:paraId="6B465600" w14:textId="0E091F7C" w:rsidR="00A44F06" w:rsidRPr="00A44F06" w:rsidRDefault="00A44F06" w:rsidP="00A44F06">
      <w:r>
        <w:t xml:space="preserve">Status: </w:t>
      </w:r>
      <w:r w:rsidRPr="00A44F06">
        <w:t>Underway</w:t>
      </w:r>
    </w:p>
    <w:p w14:paraId="413A7919" w14:textId="55993A50" w:rsidR="00D8066D" w:rsidRDefault="00D8066D" w:rsidP="00D8066D">
      <w:pPr>
        <w:pStyle w:val="Heading3"/>
      </w:pPr>
      <w:r w:rsidRPr="00456DDB">
        <w:t>Action 3.6</w:t>
      </w:r>
    </w:p>
    <w:p w14:paraId="32B44465" w14:textId="77777777" w:rsidR="00831BED" w:rsidRDefault="00A44F06" w:rsidP="00A44F06">
      <w:r>
        <w:t xml:space="preserve">Action item: </w:t>
      </w:r>
    </w:p>
    <w:p w14:paraId="1A97D6CB" w14:textId="5D5D9B9A" w:rsidR="00831BED" w:rsidRDefault="00A44F06" w:rsidP="00831BED">
      <w:pPr>
        <w:pStyle w:val="NumberedList"/>
        <w:numPr>
          <w:ilvl w:val="0"/>
          <w:numId w:val="13"/>
        </w:numPr>
      </w:pPr>
      <w:r w:rsidRPr="004254E4">
        <w:t xml:space="preserve">Improve access by </w:t>
      </w:r>
      <w:r w:rsidR="00EB3718">
        <w:t>small and medium sized enterprises t</w:t>
      </w:r>
      <w:r w:rsidRPr="004254E4">
        <w:t>o existing migration schemes such as the Pacific Australia Labour Mobility (PALM) scheme.</w:t>
      </w:r>
      <w:r>
        <w:t xml:space="preserve"> </w:t>
      </w:r>
    </w:p>
    <w:p w14:paraId="7AA237B6" w14:textId="15DEACCC" w:rsidR="00A44F06" w:rsidRDefault="00A44F06" w:rsidP="00831BED">
      <w:pPr>
        <w:pStyle w:val="NumberedList"/>
        <w:numPr>
          <w:ilvl w:val="0"/>
          <w:numId w:val="13"/>
        </w:numPr>
      </w:pPr>
      <w:r w:rsidRPr="00A44F06">
        <w:t>Implement the Migrant Worker Taskforce report recommendations and refinements to the PALM scheme, including improving working conditions for PALM participants.</w:t>
      </w:r>
    </w:p>
    <w:p w14:paraId="7580522C" w14:textId="79A572EF" w:rsidR="00A44F06" w:rsidRDefault="00A44F06" w:rsidP="00A44F06">
      <w:r>
        <w:lastRenderedPageBreak/>
        <w:t xml:space="preserve">Action </w:t>
      </w:r>
      <w:proofErr w:type="gramStart"/>
      <w:r>
        <w:t>lead</w:t>
      </w:r>
      <w:proofErr w:type="gramEnd"/>
      <w:r>
        <w:t xml:space="preserve"> (Partners): </w:t>
      </w:r>
      <w:r w:rsidRPr="00A44F06">
        <w:t>DFAT, DEWR, Home Affairs, Jobs and Skills Australia</w:t>
      </w:r>
    </w:p>
    <w:p w14:paraId="0D5C0087" w14:textId="00CF2333" w:rsidR="00A44F06" w:rsidRPr="00A44F06" w:rsidRDefault="00A44F06" w:rsidP="00A44F06">
      <w:pPr>
        <w:spacing w:before="120"/>
      </w:pPr>
      <w:r>
        <w:t>Status: Underway</w:t>
      </w:r>
    </w:p>
    <w:p w14:paraId="41D40CA7" w14:textId="1A031DAB" w:rsidR="00D8066D" w:rsidRDefault="00D8066D" w:rsidP="00D8066D">
      <w:pPr>
        <w:pStyle w:val="Heading3"/>
      </w:pPr>
      <w:r w:rsidRPr="00456DDB">
        <w:t>Action 3.7</w:t>
      </w:r>
    </w:p>
    <w:p w14:paraId="265FDCEA" w14:textId="77777777" w:rsidR="00831BED" w:rsidRDefault="00A44F06" w:rsidP="00A44F06">
      <w:r w:rsidRPr="00A44F06">
        <w:t xml:space="preserve">Action item: </w:t>
      </w:r>
    </w:p>
    <w:p w14:paraId="52E061DB" w14:textId="05A858B5" w:rsidR="00A44F06" w:rsidRDefault="00A44F06" w:rsidP="00831BED">
      <w:pPr>
        <w:pStyle w:val="NumberedList"/>
        <w:numPr>
          <w:ilvl w:val="0"/>
          <w:numId w:val="14"/>
        </w:numPr>
      </w:pPr>
      <w:r w:rsidRPr="00A44F06">
        <w:t xml:space="preserve">Progress the Government’s Skills Reform agenda for a high-quality, </w:t>
      </w:r>
      <w:proofErr w:type="gramStart"/>
      <w:r w:rsidRPr="00A44F06">
        <w:t>relevant</w:t>
      </w:r>
      <w:proofErr w:type="gramEnd"/>
      <w:r w:rsidRPr="00A44F06">
        <w:t xml:space="preserve"> and accessible vocational education and training sector in which funding arrangements improve consistency and are linked to skills needs; micro-credentials are supported; and apprenticeships and other forms of work-based training are promoted.</w:t>
      </w:r>
    </w:p>
    <w:p w14:paraId="6463208D" w14:textId="0767C140" w:rsidR="0050539F" w:rsidRDefault="0050539F" w:rsidP="00ED3BEF">
      <w:r>
        <w:t xml:space="preserve">Action </w:t>
      </w:r>
      <w:proofErr w:type="gramStart"/>
      <w:r>
        <w:t>lead</w:t>
      </w:r>
      <w:proofErr w:type="gramEnd"/>
      <w:r>
        <w:t xml:space="preserve"> (Partners): </w:t>
      </w:r>
      <w:r w:rsidR="00065E1C">
        <w:t>DEWR (S&amp;TG, VE industry)</w:t>
      </w:r>
    </w:p>
    <w:p w14:paraId="1F8EA225" w14:textId="77777777" w:rsidR="00831BED" w:rsidRDefault="00831BED" w:rsidP="00831BED">
      <w:pPr>
        <w:pStyle w:val="NumberedList"/>
        <w:numPr>
          <w:ilvl w:val="0"/>
          <w:numId w:val="14"/>
        </w:numPr>
      </w:pPr>
      <w:r w:rsidRPr="00A44F06">
        <w:t xml:space="preserve">Jobs and Skills Australia has been established as a statutory body to provide independent advice on current, </w:t>
      </w:r>
      <w:proofErr w:type="gramStart"/>
      <w:r w:rsidRPr="00A44F06">
        <w:t>emerging</w:t>
      </w:r>
      <w:proofErr w:type="gramEnd"/>
      <w:r w:rsidRPr="00A44F06">
        <w:t xml:space="preserve"> and future workforce, skills and training needs.</w:t>
      </w:r>
      <w:r>
        <w:t xml:space="preserve"> </w:t>
      </w:r>
    </w:p>
    <w:p w14:paraId="54583754" w14:textId="6A7181D4" w:rsidR="00831BED" w:rsidRDefault="00831BED" w:rsidP="00831BED">
      <w:pPr>
        <w:pStyle w:val="NumberedList"/>
        <w:numPr>
          <w:ilvl w:val="0"/>
          <w:numId w:val="14"/>
        </w:numPr>
      </w:pPr>
      <w:r w:rsidRPr="004254E4">
        <w:t>Industry clusters will be established from January 2023 to identify and respond to current and emerging skills needs and workforce challenges, including for those in the visitor economy</w:t>
      </w:r>
      <w:r>
        <w:t xml:space="preserve">. </w:t>
      </w:r>
    </w:p>
    <w:p w14:paraId="2E6246CF" w14:textId="071FCD95" w:rsidR="00EC305A" w:rsidRDefault="00EC305A" w:rsidP="00EC305A">
      <w:r>
        <w:t xml:space="preserve">Action </w:t>
      </w:r>
      <w:proofErr w:type="gramStart"/>
      <w:r>
        <w:t>lead</w:t>
      </w:r>
      <w:proofErr w:type="gramEnd"/>
      <w:r>
        <w:t xml:space="preserve"> (Partners): </w:t>
      </w:r>
      <w:r w:rsidRPr="004254E4">
        <w:t>Jobs and Skills Australia</w:t>
      </w:r>
    </w:p>
    <w:p w14:paraId="2075700C" w14:textId="7D43E0AF" w:rsidR="00831BED" w:rsidRDefault="00831BED" w:rsidP="00831BED">
      <w:pPr>
        <w:pStyle w:val="NumberedList"/>
        <w:numPr>
          <w:ilvl w:val="0"/>
          <w:numId w:val="14"/>
        </w:numPr>
      </w:pPr>
      <w:r w:rsidRPr="00831BED">
        <w:t>Provide on-the-job-training opportunities for people by connecting them with tour operators, and a pathway to accreditation as a professional tour guide, through Tour Guides Australia’s micro-credential training course.</w:t>
      </w:r>
    </w:p>
    <w:p w14:paraId="180F9B8B" w14:textId="5CBFC6CC" w:rsidR="00EC305A" w:rsidRDefault="00EC305A" w:rsidP="00EC305A">
      <w:r>
        <w:t xml:space="preserve">Action </w:t>
      </w:r>
      <w:proofErr w:type="gramStart"/>
      <w:r>
        <w:t>lead</w:t>
      </w:r>
      <w:proofErr w:type="gramEnd"/>
      <w:r>
        <w:t xml:space="preserve"> (Partners): Tour Guides Australia</w:t>
      </w:r>
    </w:p>
    <w:p w14:paraId="4FB8966F" w14:textId="48C20130" w:rsidR="00A44F06" w:rsidRPr="00A44F06" w:rsidRDefault="00A44F06" w:rsidP="00A44F06">
      <w:pPr>
        <w:spacing w:before="120"/>
      </w:pPr>
      <w:r>
        <w:t>Status: Underway</w:t>
      </w:r>
    </w:p>
    <w:p w14:paraId="08449CD4" w14:textId="2DD4B90D" w:rsidR="00D8066D" w:rsidRDefault="00D8066D" w:rsidP="00A44F06">
      <w:pPr>
        <w:pStyle w:val="Heading3"/>
      </w:pPr>
      <w:r w:rsidRPr="00A44F06">
        <w:t>Action 3.8</w:t>
      </w:r>
    </w:p>
    <w:p w14:paraId="683F3AC8" w14:textId="2603EE63" w:rsidR="00831BED" w:rsidRDefault="00831BED" w:rsidP="00831BED">
      <w:r>
        <w:t xml:space="preserve">Action item: </w:t>
      </w:r>
      <w:r w:rsidRPr="00831BED">
        <w:t xml:space="preserve">Promote the visitor economy as an attractive career choice including through communication strategies, </w:t>
      </w:r>
      <w:proofErr w:type="gramStart"/>
      <w:r w:rsidRPr="00831BED">
        <w:t>incentives</w:t>
      </w:r>
      <w:proofErr w:type="gramEnd"/>
      <w:r w:rsidRPr="00831BED">
        <w:t xml:space="preserve"> and awards to promote best practice by employers.</w:t>
      </w:r>
    </w:p>
    <w:p w14:paraId="7F428D4A" w14:textId="421A5B2B" w:rsidR="00831BED" w:rsidRDefault="00831BED" w:rsidP="00831BED">
      <w:r>
        <w:t xml:space="preserve">Action </w:t>
      </w:r>
      <w:proofErr w:type="gramStart"/>
      <w:r>
        <w:t>lead</w:t>
      </w:r>
      <w:proofErr w:type="gramEnd"/>
      <w:r>
        <w:t xml:space="preserve"> (Partners): </w:t>
      </w:r>
      <w:r w:rsidRPr="00831BED">
        <w:t>Austrade, S&amp;TG, VE industry</w:t>
      </w:r>
    </w:p>
    <w:p w14:paraId="5D2B82E0" w14:textId="730E1528" w:rsidR="00831BED" w:rsidRPr="00831BED" w:rsidRDefault="00831BED" w:rsidP="00831BED">
      <w:r>
        <w:t xml:space="preserve">Status: </w:t>
      </w:r>
      <w:r w:rsidRPr="00831BED">
        <w:t>Underway</w:t>
      </w:r>
    </w:p>
    <w:p w14:paraId="2E7AD48C" w14:textId="25BE1656" w:rsidR="00D8066D" w:rsidRDefault="00D8066D" w:rsidP="00A44F06">
      <w:pPr>
        <w:pStyle w:val="Heading3"/>
      </w:pPr>
      <w:r w:rsidRPr="00A44F06">
        <w:t xml:space="preserve">Action 3.9 </w:t>
      </w:r>
    </w:p>
    <w:p w14:paraId="5F84BD5A" w14:textId="6BAE8D0E" w:rsidR="00831BED" w:rsidRDefault="00831BED" w:rsidP="00831BED">
      <w:r>
        <w:t>Action item:</w:t>
      </w:r>
      <w:r w:rsidRPr="00831BED">
        <w:t xml:space="preserve"> Encourage the uptake of training programs for First Nations peoples that create opportunities for participants to further enhance industry knowledge, equip participants to advance their careers and to develop new products or experiences in the sector. </w:t>
      </w:r>
      <w:r>
        <w:t xml:space="preserve"> </w:t>
      </w:r>
    </w:p>
    <w:p w14:paraId="026114E5" w14:textId="73ECDA7C" w:rsidR="00831BED" w:rsidRDefault="00831BED" w:rsidP="00831BED">
      <w:r>
        <w:t xml:space="preserve">Action </w:t>
      </w:r>
      <w:proofErr w:type="gramStart"/>
      <w:r>
        <w:t>lead</w:t>
      </w:r>
      <w:proofErr w:type="gramEnd"/>
      <w:r>
        <w:t xml:space="preserve"> (Partners): </w:t>
      </w:r>
      <w:r w:rsidRPr="00831BED">
        <w:t>NIAA, VE industry, (S&amp;TG)</w:t>
      </w:r>
    </w:p>
    <w:p w14:paraId="13D4A32D" w14:textId="5DBADB16" w:rsidR="00831BED" w:rsidRPr="00831BED" w:rsidRDefault="00831BED" w:rsidP="00831BED">
      <w:r>
        <w:t xml:space="preserve">Status: </w:t>
      </w:r>
      <w:r w:rsidRPr="00831BED">
        <w:t>Underway</w:t>
      </w:r>
    </w:p>
    <w:p w14:paraId="2431F1A0" w14:textId="45090011" w:rsidR="00D8066D" w:rsidRDefault="00D8066D" w:rsidP="00A44F06">
      <w:pPr>
        <w:pStyle w:val="Heading3"/>
      </w:pPr>
      <w:r w:rsidRPr="00A44F06">
        <w:lastRenderedPageBreak/>
        <w:t>Action 3.10</w:t>
      </w:r>
    </w:p>
    <w:p w14:paraId="6EA3FBC5" w14:textId="77777777" w:rsidR="00831BED" w:rsidRDefault="00831BED" w:rsidP="00831BED">
      <w:r>
        <w:t xml:space="preserve">Action item: </w:t>
      </w:r>
    </w:p>
    <w:p w14:paraId="1E8C38D0" w14:textId="4D07E12B" w:rsidR="00831BED" w:rsidRDefault="00831BED" w:rsidP="00831BED">
      <w:pPr>
        <w:pStyle w:val="NumberedList"/>
        <w:numPr>
          <w:ilvl w:val="0"/>
          <w:numId w:val="15"/>
        </w:numPr>
      </w:pPr>
      <w:r w:rsidRPr="00831BED">
        <w:t>Encourage mutual recognition for foundational credentials (such as the Responsible Service of Alcohol (RSA)) to support mobility of workers across jurisdictions, especially in relation to seasonal hospitality work.</w:t>
      </w:r>
    </w:p>
    <w:p w14:paraId="7CEAE1DE" w14:textId="4680D145" w:rsidR="00831BED" w:rsidRDefault="00831BED" w:rsidP="00831BED">
      <w:pPr>
        <w:pStyle w:val="NumberedList"/>
        <w:numPr>
          <w:ilvl w:val="0"/>
          <w:numId w:val="15"/>
        </w:numPr>
      </w:pPr>
      <w:r w:rsidRPr="00831BED">
        <w:t>Increase acceptance across all states and territories of micro-credentialing as a recognised and valued form of training and accreditation in visitor economy occupations, including for tour guides.</w:t>
      </w:r>
    </w:p>
    <w:p w14:paraId="23FE9F91" w14:textId="188E0856" w:rsidR="00831BED" w:rsidRDefault="00831BED" w:rsidP="00831BED">
      <w:r>
        <w:t xml:space="preserve">Action </w:t>
      </w:r>
      <w:proofErr w:type="gramStart"/>
      <w:r>
        <w:t>lead</w:t>
      </w:r>
      <w:proofErr w:type="gramEnd"/>
      <w:r>
        <w:t xml:space="preserve"> (Partners): </w:t>
      </w:r>
      <w:r w:rsidRPr="004254E4">
        <w:t>S&amp;TG</w:t>
      </w:r>
    </w:p>
    <w:p w14:paraId="617C0A4C" w14:textId="035CF229" w:rsidR="00831BED" w:rsidRPr="00831BED" w:rsidRDefault="00831BED" w:rsidP="00831BED">
      <w:r>
        <w:t xml:space="preserve">Status: </w:t>
      </w:r>
      <w:r w:rsidRPr="00831BED">
        <w:t>Underway</w:t>
      </w:r>
    </w:p>
    <w:p w14:paraId="10310C45" w14:textId="188F9B0D" w:rsidR="00D8066D" w:rsidRDefault="00D8066D" w:rsidP="00A44F06">
      <w:pPr>
        <w:pStyle w:val="Heading3"/>
      </w:pPr>
      <w:r w:rsidRPr="00A44F06">
        <w:t>Action 3.11</w:t>
      </w:r>
    </w:p>
    <w:p w14:paraId="6F8D52D8" w14:textId="77777777" w:rsidR="00831BED" w:rsidRPr="004254E4" w:rsidRDefault="00831BED" w:rsidP="00831BED">
      <w:pPr>
        <w:spacing w:before="120"/>
      </w:pPr>
      <w:r>
        <w:t xml:space="preserve">Action item: </w:t>
      </w:r>
      <w:r w:rsidRPr="004254E4">
        <w:t xml:space="preserve">Promote employment standards of employers including compliance with workplace obligations such as modern awards and superannuation requirements, including through the Fair Work Ombudsman’s education tools and advice services. </w:t>
      </w:r>
    </w:p>
    <w:p w14:paraId="3CA68663" w14:textId="1BB02214" w:rsidR="00831BED" w:rsidRDefault="00831BED" w:rsidP="00831BED">
      <w:r w:rsidRPr="004254E4">
        <w:t>Promote understanding and awareness of work, health and safety duties through Safe Work Australia’s education and communication tools.</w:t>
      </w:r>
    </w:p>
    <w:p w14:paraId="5B7E6153" w14:textId="075B2906" w:rsidR="00831BED" w:rsidRDefault="00831BED" w:rsidP="00831BED">
      <w:r>
        <w:t xml:space="preserve">Action </w:t>
      </w:r>
      <w:proofErr w:type="gramStart"/>
      <w:r>
        <w:t>lead</w:t>
      </w:r>
      <w:proofErr w:type="gramEnd"/>
      <w:r>
        <w:t xml:space="preserve"> (Partners): </w:t>
      </w:r>
      <w:r w:rsidRPr="00831BED">
        <w:t>FWO, ATO, S&amp;TG, VE industry, (DEWR)</w:t>
      </w:r>
    </w:p>
    <w:p w14:paraId="4AA1CF9D" w14:textId="79015F37" w:rsidR="00831BED" w:rsidRPr="00831BED" w:rsidRDefault="00831BED" w:rsidP="00831BED">
      <w:r>
        <w:t>Status: Underway</w:t>
      </w:r>
    </w:p>
    <w:p w14:paraId="10E9A3CE" w14:textId="031BD52E" w:rsidR="00D8066D" w:rsidRDefault="00D8066D" w:rsidP="00A44F06">
      <w:pPr>
        <w:pStyle w:val="Heading3"/>
      </w:pPr>
      <w:r w:rsidRPr="00A44F06">
        <w:t>Action 3.12</w:t>
      </w:r>
    </w:p>
    <w:p w14:paraId="161FE494" w14:textId="77777777" w:rsidR="00831BED" w:rsidRDefault="00831BED" w:rsidP="00831BED">
      <w:r>
        <w:t xml:space="preserve">Action item: </w:t>
      </w:r>
    </w:p>
    <w:p w14:paraId="56CB161D" w14:textId="32AA6EFA" w:rsidR="00831BED" w:rsidRDefault="00831BED" w:rsidP="00831BED">
      <w:pPr>
        <w:pStyle w:val="NumberedList"/>
        <w:numPr>
          <w:ilvl w:val="0"/>
          <w:numId w:val="16"/>
        </w:numPr>
      </w:pPr>
      <w:r w:rsidRPr="00831BED">
        <w:t>Encourage larger industry operators to implement formal in-house training and diversity programs.</w:t>
      </w:r>
    </w:p>
    <w:p w14:paraId="355FBAB6" w14:textId="2A58F48A" w:rsidR="00EC305A" w:rsidRDefault="00EC305A" w:rsidP="00EC305A">
      <w:r>
        <w:t xml:space="preserve">Action </w:t>
      </w:r>
      <w:proofErr w:type="gramStart"/>
      <w:r>
        <w:t>lead</w:t>
      </w:r>
      <w:proofErr w:type="gramEnd"/>
      <w:r>
        <w:t xml:space="preserve"> (Partners): VE industry</w:t>
      </w:r>
    </w:p>
    <w:p w14:paraId="0E952C54" w14:textId="77777777" w:rsidR="00860FCC" w:rsidRDefault="00831BED" w:rsidP="00860FCC">
      <w:pPr>
        <w:pStyle w:val="NumberedList"/>
        <w:numPr>
          <w:ilvl w:val="0"/>
          <w:numId w:val="16"/>
        </w:numPr>
      </w:pPr>
      <w:r w:rsidRPr="00831BED">
        <w:t xml:space="preserve">Tourism Training Australia (in conjunction with the travel, tourism, hospitality, </w:t>
      </w:r>
      <w:proofErr w:type="gramStart"/>
      <w:r w:rsidRPr="00831BED">
        <w:t>accommodation</w:t>
      </w:r>
      <w:proofErr w:type="gramEnd"/>
      <w:r w:rsidRPr="00831BED">
        <w:t xml:space="preserve"> and events sector groups) has a project supported by the Victorian Government, to develop micro-credential training that is linked to the formal training system.</w:t>
      </w:r>
    </w:p>
    <w:p w14:paraId="6090CAAB" w14:textId="421DDC31" w:rsidR="00831BED" w:rsidRDefault="00831BED" w:rsidP="00860FCC">
      <w:r>
        <w:t xml:space="preserve">Action </w:t>
      </w:r>
      <w:proofErr w:type="gramStart"/>
      <w:r>
        <w:t>lead</w:t>
      </w:r>
      <w:proofErr w:type="gramEnd"/>
      <w:r>
        <w:t xml:space="preserve"> (Partners): </w:t>
      </w:r>
      <w:r w:rsidRPr="004254E4">
        <w:t>VE industry</w:t>
      </w:r>
      <w:r>
        <w:t xml:space="preserve">, </w:t>
      </w:r>
      <w:r w:rsidRPr="004254E4">
        <w:t>including Australian Chamber – Tourism</w:t>
      </w:r>
    </w:p>
    <w:p w14:paraId="5E7052A8" w14:textId="71E09C36" w:rsidR="00831BED" w:rsidRDefault="00831BED" w:rsidP="00831BED">
      <w:r>
        <w:t>Status: Underway</w:t>
      </w:r>
    </w:p>
    <w:p w14:paraId="50D5BE20" w14:textId="77777777" w:rsidR="00831BED" w:rsidRDefault="00831BED">
      <w:pPr>
        <w:spacing w:before="0" w:after="160" w:line="259" w:lineRule="auto"/>
      </w:pPr>
      <w:r>
        <w:br w:type="page"/>
      </w:r>
    </w:p>
    <w:p w14:paraId="77119A82" w14:textId="77777777" w:rsidR="00831BED" w:rsidRDefault="00831BED" w:rsidP="00831BED">
      <w:pPr>
        <w:pStyle w:val="Heading2"/>
      </w:pPr>
      <w:r>
        <w:lastRenderedPageBreak/>
        <w:t xml:space="preserve">Priority 4: Embrace leading-edge business </w:t>
      </w:r>
      <w:proofErr w:type="gramStart"/>
      <w:r>
        <w:t>practices</w:t>
      </w:r>
      <w:proofErr w:type="gramEnd"/>
    </w:p>
    <w:p w14:paraId="7961772B" w14:textId="77777777" w:rsidR="00831BED" w:rsidRDefault="00831BED" w:rsidP="00831BED">
      <w:r>
        <w:t xml:space="preserve">One theme of THRIVE 2030 is to modernise – by improving business capability and creating competitive, </w:t>
      </w:r>
      <w:proofErr w:type="gramStart"/>
      <w:r>
        <w:t>resilient</w:t>
      </w:r>
      <w:proofErr w:type="gramEnd"/>
      <w:r>
        <w:t xml:space="preserve"> and sustainable businesses, which deliver high-quality products and services to visitors. Collaboration is essential to achieving this. Governments at all levels have been working closely with industry to drive innovation, improve sustainability, reduce </w:t>
      </w:r>
      <w:proofErr w:type="gramStart"/>
      <w:r>
        <w:t>emissions</w:t>
      </w:r>
      <w:proofErr w:type="gramEnd"/>
      <w:r>
        <w:t xml:space="preserve"> and promote awareness of existing government and industry support measures. </w:t>
      </w:r>
    </w:p>
    <w:p w14:paraId="663DF4AE" w14:textId="2B2595E6" w:rsidR="00831BED" w:rsidRDefault="00831BED" w:rsidP="00831BED">
      <w:r>
        <w:t>Austrade, in partnership with Commonwealth agencies, states and territories and industry, has been targeting efforts on implementing an industry sustainability framework, improving accessibility and affordability of insurance products, and working to allow tourism and accommodation providers to set their own prices.</w:t>
      </w:r>
    </w:p>
    <w:p w14:paraId="409C8C94" w14:textId="77E63725" w:rsidR="00831BED" w:rsidRDefault="00831BED" w:rsidP="00CA77C2">
      <w:pPr>
        <w:pStyle w:val="Heading3"/>
      </w:pPr>
      <w:r>
        <w:t>Action 4.1</w:t>
      </w:r>
    </w:p>
    <w:p w14:paraId="41DA55F8" w14:textId="4820B64C" w:rsidR="000D2B8A" w:rsidRDefault="00CA77C2" w:rsidP="00CA77C2">
      <w:r>
        <w:t xml:space="preserve">Action item: Build business capability programs that help drive product innovation, </w:t>
      </w:r>
      <w:proofErr w:type="gramStart"/>
      <w:r>
        <w:t>diversification</w:t>
      </w:r>
      <w:proofErr w:type="gramEnd"/>
      <w:r>
        <w:t xml:space="preserve"> and product quality to deliver world-class visitor experiences including micro-credentialing and accreditation for tour guiding. </w:t>
      </w:r>
    </w:p>
    <w:p w14:paraId="1C357167" w14:textId="68DCD64D" w:rsidR="000D2B8A" w:rsidRDefault="000D2B8A" w:rsidP="00CA77C2">
      <w:r>
        <w:t xml:space="preserve">Action </w:t>
      </w:r>
      <w:proofErr w:type="gramStart"/>
      <w:r>
        <w:t>lead</w:t>
      </w:r>
      <w:proofErr w:type="gramEnd"/>
      <w:r>
        <w:t xml:space="preserve"> (Partners): </w:t>
      </w:r>
      <w:r w:rsidR="004455F5" w:rsidRPr="004455F5">
        <w:t>VE industry, DEWR, S&amp;TG</w:t>
      </w:r>
    </w:p>
    <w:p w14:paraId="04AA8D59" w14:textId="364BDD97" w:rsidR="00CA77C2" w:rsidRDefault="00CA77C2" w:rsidP="00CA77C2">
      <w:pPr>
        <w:pStyle w:val="BulletList"/>
      </w:pPr>
      <w:r>
        <w:t xml:space="preserve">Enhance the Quality Tourism Framework, in partnership with the Australian Tourism Industry Council (ATIC), to help small tourism businesses. </w:t>
      </w:r>
    </w:p>
    <w:p w14:paraId="13246290" w14:textId="7ED5A667" w:rsidR="004455F5" w:rsidRDefault="004455F5" w:rsidP="004455F5">
      <w:r>
        <w:t xml:space="preserve">Action </w:t>
      </w:r>
      <w:proofErr w:type="gramStart"/>
      <w:r>
        <w:t>lead</w:t>
      </w:r>
      <w:proofErr w:type="gramEnd"/>
      <w:r>
        <w:t xml:space="preserve"> (Partners): </w:t>
      </w:r>
      <w:r w:rsidR="00DE0819" w:rsidRPr="00DE0819">
        <w:t>ATIC (VE industry, Austrade, NIAA)</w:t>
      </w:r>
    </w:p>
    <w:p w14:paraId="38D9D7EB" w14:textId="1ED3515C" w:rsidR="00CA77C2" w:rsidRDefault="00CA77C2" w:rsidP="00CA77C2">
      <w:pPr>
        <w:pStyle w:val="BulletList"/>
      </w:pPr>
      <w:r>
        <w:t>Promote the adoption of sustainable tourism practices and pathways to certification with the new Strive 4 Sustainability Scorecard program, founded in partnership with Tourism Australia, a new entry level program for all tourism businesses wishing to start their sustainability journey in an efficient and affordable way.</w:t>
      </w:r>
    </w:p>
    <w:p w14:paraId="4038FFF2" w14:textId="556344C2" w:rsidR="00DE0819" w:rsidRDefault="005967EC" w:rsidP="005967EC">
      <w:r>
        <w:t xml:space="preserve">Action </w:t>
      </w:r>
      <w:proofErr w:type="gramStart"/>
      <w:r>
        <w:t>lead</w:t>
      </w:r>
      <w:proofErr w:type="gramEnd"/>
      <w:r>
        <w:t xml:space="preserve"> (Partners): </w:t>
      </w:r>
      <w:r w:rsidRPr="005967EC">
        <w:t>EcoTourism Australia</w:t>
      </w:r>
    </w:p>
    <w:p w14:paraId="7B928B3F" w14:textId="22AA6AA3" w:rsidR="00CA77C2" w:rsidRPr="00CA77C2" w:rsidRDefault="00CA77C2" w:rsidP="00CA77C2">
      <w:r>
        <w:t xml:space="preserve">Status: </w:t>
      </w:r>
      <w:r w:rsidRPr="004F0C3E">
        <w:rPr>
          <w:noProof/>
        </w:rPr>
        <w:t>Underway</w:t>
      </w:r>
    </w:p>
    <w:p w14:paraId="519BBF3F" w14:textId="1EFD084F" w:rsidR="00831BED" w:rsidRDefault="00831BED" w:rsidP="00CA77C2">
      <w:pPr>
        <w:pStyle w:val="Heading3"/>
      </w:pPr>
      <w:r>
        <w:t>Action 4.2</w:t>
      </w:r>
    </w:p>
    <w:p w14:paraId="72FC2146" w14:textId="4E4D71E2" w:rsidR="00CA77C2" w:rsidRPr="002E32FB" w:rsidRDefault="00CA77C2" w:rsidP="00CA77C2">
      <w:r>
        <w:t>Action item: Streamline and target information about government resources assisting businesses to modernise and diversify, and to build resilience and capabilit</w:t>
      </w:r>
      <w:r w:rsidRPr="002E32FB">
        <w:t>y</w:t>
      </w:r>
      <w:r w:rsidR="004D6B40" w:rsidRPr="002E32FB">
        <w:t xml:space="preserve">. </w:t>
      </w:r>
    </w:p>
    <w:p w14:paraId="67CD87A6" w14:textId="46077095" w:rsidR="005967EC" w:rsidRPr="002E32FB" w:rsidRDefault="005967EC" w:rsidP="00CA77C2">
      <w:r w:rsidRPr="002E32FB">
        <w:t xml:space="preserve">Action </w:t>
      </w:r>
      <w:proofErr w:type="gramStart"/>
      <w:r w:rsidRPr="002E32FB">
        <w:t>lead</w:t>
      </w:r>
      <w:proofErr w:type="gramEnd"/>
      <w:r w:rsidRPr="002E32FB">
        <w:t xml:space="preserve"> (Partners): </w:t>
      </w:r>
      <w:r w:rsidR="00E407E7" w:rsidRPr="002E32FB">
        <w:t>Treasury, ATO, S&amp;TG, LG, VE industry</w:t>
      </w:r>
    </w:p>
    <w:p w14:paraId="069951BF" w14:textId="77777777" w:rsidR="004D6B40" w:rsidRDefault="004D6B40" w:rsidP="004D6B40">
      <w:r w:rsidRPr="002E32FB">
        <w:t>Including through programs such as:</w:t>
      </w:r>
      <w:r>
        <w:t xml:space="preserve"> </w:t>
      </w:r>
    </w:p>
    <w:p w14:paraId="2F1211D5" w14:textId="77777777" w:rsidR="00CA77C2" w:rsidRDefault="00CA77C2" w:rsidP="00CA77C2">
      <w:pPr>
        <w:pStyle w:val="BulletList"/>
      </w:pPr>
      <w:r>
        <w:t>The Digital Solutions – Australian Small Business Advisory Services (ASBAS) Program to assist small businesses to improve their digital capability and adopt digital tools and processes.</w:t>
      </w:r>
    </w:p>
    <w:p w14:paraId="2ABBCB1F" w14:textId="3876C250" w:rsidR="005138B0" w:rsidRDefault="005138B0" w:rsidP="005138B0">
      <w:r>
        <w:lastRenderedPageBreak/>
        <w:t xml:space="preserve">Action </w:t>
      </w:r>
      <w:proofErr w:type="gramStart"/>
      <w:r>
        <w:t>lead</w:t>
      </w:r>
      <w:proofErr w:type="gramEnd"/>
      <w:r>
        <w:t xml:space="preserve"> (Partners):</w:t>
      </w:r>
      <w:r w:rsidR="00481E90" w:rsidRPr="00481E90">
        <w:t xml:space="preserve"> Treasury</w:t>
      </w:r>
    </w:p>
    <w:p w14:paraId="4CC5D7FF" w14:textId="79C253B4" w:rsidR="00CA77C2" w:rsidRDefault="00CA77C2" w:rsidP="00CA77C2">
      <w:pPr>
        <w:pStyle w:val="BulletList"/>
      </w:pPr>
      <w:r>
        <w:t>eInvoicing – to assist small businesses to digitise their processes, widen trade connectivity and improve productivity.</w:t>
      </w:r>
    </w:p>
    <w:p w14:paraId="4D481305" w14:textId="19DED2D7" w:rsidR="00481E90" w:rsidRDefault="00481E90" w:rsidP="00481E90">
      <w:r>
        <w:t xml:space="preserve">Action </w:t>
      </w:r>
      <w:proofErr w:type="gramStart"/>
      <w:r>
        <w:t>lead</w:t>
      </w:r>
      <w:proofErr w:type="gramEnd"/>
      <w:r>
        <w:t xml:space="preserve"> (Partners):</w:t>
      </w:r>
      <w:r w:rsidRPr="00481E90">
        <w:t xml:space="preserve"> </w:t>
      </w:r>
      <w:r>
        <w:t>ATO</w:t>
      </w:r>
    </w:p>
    <w:p w14:paraId="2C15B350" w14:textId="361AF73C" w:rsidR="00CA77C2" w:rsidRPr="00CA77C2" w:rsidRDefault="00CA77C2" w:rsidP="00CA77C2">
      <w:r>
        <w:t xml:space="preserve">Status: </w:t>
      </w:r>
      <w:r w:rsidRPr="00CA77C2">
        <w:t>Underway</w:t>
      </w:r>
    </w:p>
    <w:p w14:paraId="37C72393" w14:textId="28D6CC39" w:rsidR="00831BED" w:rsidRDefault="00831BED" w:rsidP="00CA77C2">
      <w:pPr>
        <w:pStyle w:val="Heading3"/>
      </w:pPr>
      <w:r>
        <w:t>Action 4.3</w:t>
      </w:r>
    </w:p>
    <w:p w14:paraId="0C15EA33" w14:textId="77777777" w:rsidR="00CA77C2" w:rsidRDefault="00CA77C2" w:rsidP="00CA77C2">
      <w:r>
        <w:t xml:space="preserve">Action item: Encourage businesses to implement resilience and crisis management plans. </w:t>
      </w:r>
    </w:p>
    <w:p w14:paraId="1A74A98C" w14:textId="5116357E" w:rsidR="00756ADB" w:rsidRDefault="00756ADB" w:rsidP="00CA77C2">
      <w:r w:rsidRPr="00756ADB">
        <w:t xml:space="preserve">Action </w:t>
      </w:r>
      <w:proofErr w:type="gramStart"/>
      <w:r w:rsidRPr="00756ADB">
        <w:t>lead</w:t>
      </w:r>
      <w:proofErr w:type="gramEnd"/>
      <w:r w:rsidRPr="00756ADB">
        <w:t xml:space="preserve"> (Partners): </w:t>
      </w:r>
      <w:r w:rsidRPr="0010348E">
        <w:t>VE industry, S&amp;TG, (NEMA)</w:t>
      </w:r>
    </w:p>
    <w:p w14:paraId="3FC6604C" w14:textId="2B90733F" w:rsidR="00CA77C2" w:rsidRDefault="00CA77C2" w:rsidP="00CA77C2">
      <w:pPr>
        <w:pStyle w:val="BulletList"/>
      </w:pPr>
      <w:r>
        <w:t xml:space="preserve">Work with Australian travel and tourism stakeholders to upskill travel industry personnel on crisis management, risk planning and mitigation and resilience. </w:t>
      </w:r>
    </w:p>
    <w:p w14:paraId="477393E5" w14:textId="50B239EF" w:rsidR="00756ADB" w:rsidRDefault="009E2370" w:rsidP="00756ADB">
      <w:r w:rsidRPr="009E2370">
        <w:t xml:space="preserve">Action </w:t>
      </w:r>
      <w:proofErr w:type="gramStart"/>
      <w:r w:rsidRPr="009E2370">
        <w:t>lead</w:t>
      </w:r>
      <w:proofErr w:type="gramEnd"/>
      <w:r w:rsidRPr="009E2370">
        <w:t xml:space="preserve"> (Partners): </w:t>
      </w:r>
      <w:r w:rsidRPr="0010348E">
        <w:t>Council of Australia Tour Operators</w:t>
      </w:r>
    </w:p>
    <w:p w14:paraId="2A374349" w14:textId="339D108B" w:rsidR="00CA77C2" w:rsidRDefault="00CA77C2" w:rsidP="00CA77C2">
      <w:pPr>
        <w:pStyle w:val="BulletList"/>
      </w:pPr>
      <w:r>
        <w:t xml:space="preserve">Develop an updated </w:t>
      </w:r>
      <w:r w:rsidRPr="00E47A83">
        <w:rPr>
          <w:i/>
          <w:iCs/>
        </w:rPr>
        <w:t>Destination Management Planning – Best Practice Guide</w:t>
      </w:r>
      <w:r>
        <w:t>, in collaboration with local council work units, that will include advice on crisis management, crisis communications for visitors and resilience to align with THRIVE 2030.</w:t>
      </w:r>
    </w:p>
    <w:p w14:paraId="60F14C56" w14:textId="269B6001" w:rsidR="009E2370" w:rsidRDefault="009E2370" w:rsidP="009E2370">
      <w:r w:rsidRPr="009E2370">
        <w:t xml:space="preserve">Action </w:t>
      </w:r>
      <w:proofErr w:type="gramStart"/>
      <w:r w:rsidRPr="009E2370">
        <w:t>lead</w:t>
      </w:r>
      <w:proofErr w:type="gramEnd"/>
      <w:r w:rsidRPr="009E2370">
        <w:t xml:space="preserve"> (Partners): </w:t>
      </w:r>
      <w:r w:rsidR="002167B4" w:rsidRPr="002167B4">
        <w:t>Australian Regional Tourism</w:t>
      </w:r>
    </w:p>
    <w:p w14:paraId="799A2981" w14:textId="2F2F03CA" w:rsidR="00CA77C2" w:rsidRPr="00CA77C2" w:rsidRDefault="00CA77C2" w:rsidP="00CA77C2">
      <w:r>
        <w:t>Status:</w:t>
      </w:r>
      <w:r w:rsidRPr="00CA77C2">
        <w:t xml:space="preserve"> Underway</w:t>
      </w:r>
      <w:r>
        <w:t xml:space="preserve"> </w:t>
      </w:r>
    </w:p>
    <w:p w14:paraId="74C571C6" w14:textId="4AED3A68" w:rsidR="00831BED" w:rsidRDefault="00831BED" w:rsidP="00CA77C2">
      <w:pPr>
        <w:pStyle w:val="Heading3"/>
      </w:pPr>
      <w:r>
        <w:t>Action 4.4</w:t>
      </w:r>
    </w:p>
    <w:p w14:paraId="74B4119F" w14:textId="3C9C6F7D" w:rsidR="00CA77C2" w:rsidRDefault="00CA77C2" w:rsidP="00CA77C2">
      <w:r>
        <w:t xml:space="preserve">Action item: </w:t>
      </w:r>
      <w:r w:rsidRPr="00CA77C2">
        <w:t>Implement an industry sustainability framework and education tools to assist businesses to implement and further improve sustainability practices.</w:t>
      </w:r>
    </w:p>
    <w:p w14:paraId="3B14FC3F" w14:textId="4806E9C7" w:rsidR="00CA77C2" w:rsidRDefault="00CA77C2" w:rsidP="00CA77C2">
      <w:r>
        <w:t xml:space="preserve">Action </w:t>
      </w:r>
      <w:proofErr w:type="gramStart"/>
      <w:r>
        <w:t>lead</w:t>
      </w:r>
      <w:proofErr w:type="gramEnd"/>
      <w:r>
        <w:t xml:space="preserve"> (Partners): </w:t>
      </w:r>
      <w:r w:rsidRPr="00CA77C2">
        <w:t>Austrade, DCCEEW, VE industry, S&amp;TG</w:t>
      </w:r>
    </w:p>
    <w:p w14:paraId="2C63334E" w14:textId="1E72B34E" w:rsidR="00CA77C2" w:rsidRPr="00CA77C2" w:rsidRDefault="00CA77C2" w:rsidP="00CA77C2">
      <w:r>
        <w:t xml:space="preserve">Status: </w:t>
      </w:r>
      <w:r w:rsidRPr="00CA77C2">
        <w:t>Underway</w:t>
      </w:r>
    </w:p>
    <w:p w14:paraId="09F4E50E" w14:textId="13040B5A" w:rsidR="00CA77C2" w:rsidRDefault="00831BED" w:rsidP="00CA77C2">
      <w:pPr>
        <w:pStyle w:val="Heading3"/>
      </w:pPr>
      <w:r>
        <w:t>Action 4.5</w:t>
      </w:r>
    </w:p>
    <w:p w14:paraId="2C738051" w14:textId="3F079721" w:rsidR="00CA77C2" w:rsidRDefault="00CA77C2" w:rsidP="00CA77C2">
      <w:r>
        <w:t xml:space="preserve">Action item: </w:t>
      </w:r>
      <w:r w:rsidRPr="00CA77C2">
        <w:t xml:space="preserve">Develop, </w:t>
      </w:r>
      <w:proofErr w:type="gramStart"/>
      <w:r w:rsidRPr="00CA77C2">
        <w:t>promote</w:t>
      </w:r>
      <w:proofErr w:type="gramEnd"/>
      <w:r w:rsidRPr="00CA77C2">
        <w:t xml:space="preserve"> and encourage businesses to improve quality through industry-led programs and celebrate exceptional visitor economy businesses.</w:t>
      </w:r>
    </w:p>
    <w:p w14:paraId="660E631D" w14:textId="40DD42A9" w:rsidR="00CA77C2" w:rsidRDefault="00CA77C2" w:rsidP="00CA77C2">
      <w:r>
        <w:t xml:space="preserve">Action </w:t>
      </w:r>
      <w:proofErr w:type="gramStart"/>
      <w:r>
        <w:t>lead</w:t>
      </w:r>
      <w:proofErr w:type="gramEnd"/>
      <w:r>
        <w:t xml:space="preserve"> (Partners): </w:t>
      </w:r>
      <w:r w:rsidRPr="00CA77C2">
        <w:t>VE industry, Austrade, TA, S&amp;TG</w:t>
      </w:r>
    </w:p>
    <w:p w14:paraId="2CDCC4B8" w14:textId="2D186F14" w:rsidR="00CA77C2" w:rsidRPr="00CA77C2" w:rsidRDefault="00CA77C2" w:rsidP="00CA77C2">
      <w:r>
        <w:t xml:space="preserve">Status: </w:t>
      </w:r>
      <w:r w:rsidRPr="00CA77C2">
        <w:t>Underway</w:t>
      </w:r>
    </w:p>
    <w:p w14:paraId="3D38D070" w14:textId="4154D995" w:rsidR="00831BED" w:rsidRDefault="00831BED" w:rsidP="00CA77C2">
      <w:pPr>
        <w:pStyle w:val="Heading3"/>
      </w:pPr>
      <w:r>
        <w:t>Action 4.6</w:t>
      </w:r>
    </w:p>
    <w:p w14:paraId="2440D725" w14:textId="77777777" w:rsidR="00CA77C2" w:rsidRDefault="00CA77C2" w:rsidP="00CA77C2">
      <w:r>
        <w:lastRenderedPageBreak/>
        <w:t xml:space="preserve">Action item: Monitor the accessibility and affordability of public liability insurance for visitor economy businesses and continue to support improved access and affordability including through Government and industry cooperation. </w:t>
      </w:r>
    </w:p>
    <w:p w14:paraId="6F1FC4D4" w14:textId="3584ED23" w:rsidR="00F559F6" w:rsidRDefault="00F559F6" w:rsidP="00CA77C2">
      <w:r>
        <w:t xml:space="preserve">Action </w:t>
      </w:r>
      <w:proofErr w:type="gramStart"/>
      <w:r>
        <w:t>lead</w:t>
      </w:r>
      <w:proofErr w:type="gramEnd"/>
      <w:r>
        <w:t xml:space="preserve"> (Partners): </w:t>
      </w:r>
      <w:r w:rsidRPr="00BE6622">
        <w:t>Treasury, VE industry</w:t>
      </w:r>
    </w:p>
    <w:p w14:paraId="52CD5A48" w14:textId="7E65833F" w:rsidR="00CA77C2" w:rsidRDefault="00CA77C2" w:rsidP="00CA77C2">
      <w:pPr>
        <w:pStyle w:val="BulletList"/>
      </w:pPr>
      <w:r>
        <w:t xml:space="preserve">Australian Chamber – Tourism is working with Business NSW, the Insurance Council of Australia and the Australian Small Business and Family Enterprise Ombudsman on insurance solutions for the tourism and hospitality </w:t>
      </w:r>
      <w:r w:rsidR="00F559F6">
        <w:t>industries.</w:t>
      </w:r>
    </w:p>
    <w:p w14:paraId="2B0D5FBD" w14:textId="6070ABF1" w:rsidR="00CA77C2" w:rsidRDefault="00CA77C2" w:rsidP="00CA77C2">
      <w:pPr>
        <w:spacing w:before="120"/>
      </w:pPr>
      <w:r>
        <w:t xml:space="preserve">Action </w:t>
      </w:r>
      <w:proofErr w:type="gramStart"/>
      <w:r>
        <w:t>lead</w:t>
      </w:r>
      <w:proofErr w:type="gramEnd"/>
      <w:r>
        <w:t xml:space="preserve"> (Partners):</w:t>
      </w:r>
      <w:r w:rsidR="00F559F6">
        <w:t xml:space="preserve"> </w:t>
      </w:r>
      <w:r w:rsidRPr="00CA77C2">
        <w:t>Australian Chamber – Tourism</w:t>
      </w:r>
    </w:p>
    <w:p w14:paraId="64956840" w14:textId="78D26C8F" w:rsidR="00CA77C2" w:rsidRPr="00CA77C2" w:rsidRDefault="00CA77C2" w:rsidP="00CA77C2">
      <w:r>
        <w:t xml:space="preserve">Status: </w:t>
      </w:r>
      <w:r w:rsidRPr="00CA77C2">
        <w:t>Underway</w:t>
      </w:r>
    </w:p>
    <w:p w14:paraId="07638B4B" w14:textId="0380503B" w:rsidR="00831BED" w:rsidRDefault="00831BED" w:rsidP="00CA77C2">
      <w:pPr>
        <w:pStyle w:val="Heading3"/>
      </w:pPr>
      <w:r>
        <w:t>Action 4.7</w:t>
      </w:r>
    </w:p>
    <w:p w14:paraId="5EA6C0B3" w14:textId="77777777" w:rsidR="00CA77C2" w:rsidRDefault="00CA77C2" w:rsidP="00CA77C2">
      <w:r>
        <w:t xml:space="preserve">Action item: Ensure that visitor economy businesses, especially those in the regions, have access to suitable internet products, </w:t>
      </w:r>
      <w:proofErr w:type="gramStart"/>
      <w:r>
        <w:t>services</w:t>
      </w:r>
      <w:proofErr w:type="gramEnd"/>
      <w:r>
        <w:t xml:space="preserve"> and infrastructure, including through: </w:t>
      </w:r>
    </w:p>
    <w:p w14:paraId="3E3B70D7" w14:textId="00FE9BA5" w:rsidR="00CA77C2" w:rsidRDefault="00CA77C2" w:rsidP="00CA77C2">
      <w:pPr>
        <w:pStyle w:val="BulletList"/>
      </w:pPr>
      <w:r>
        <w:t xml:space="preserve">the Better Connectivity Plan for Regional and Rural Australia </w:t>
      </w:r>
    </w:p>
    <w:p w14:paraId="0964AB78" w14:textId="42A5ABB5" w:rsidR="00CA77C2" w:rsidRDefault="00CA77C2" w:rsidP="00CA77C2">
      <w:pPr>
        <w:pStyle w:val="BulletList"/>
      </w:pPr>
      <w:r>
        <w:t xml:space="preserve">the Regional Connectivity Program </w:t>
      </w:r>
    </w:p>
    <w:p w14:paraId="7612D961" w14:textId="68B92362" w:rsidR="00CA77C2" w:rsidRDefault="00CA77C2" w:rsidP="00CA77C2">
      <w:pPr>
        <w:pStyle w:val="BulletList"/>
      </w:pPr>
      <w:r>
        <w:t xml:space="preserve">the Mobile Black Spot Program </w:t>
      </w:r>
    </w:p>
    <w:p w14:paraId="478886B1" w14:textId="110C70B0" w:rsidR="00CA77C2" w:rsidRDefault="00CA77C2" w:rsidP="00CA77C2">
      <w:pPr>
        <w:pStyle w:val="BulletList"/>
      </w:pPr>
      <w:r>
        <w:t xml:space="preserve">access to the National Broadband Network which is being enhanced by initiatives including upgrades providing full-fibre access, fixed wireless and satellite upgrades, the Regional Co-Investment </w:t>
      </w:r>
      <w:proofErr w:type="gramStart"/>
      <w:r>
        <w:t>Fund</w:t>
      </w:r>
      <w:proofErr w:type="gramEnd"/>
      <w:r>
        <w:t xml:space="preserve"> and the Business Fibre Initiative.</w:t>
      </w:r>
    </w:p>
    <w:p w14:paraId="5BA4067F" w14:textId="0A3DA880" w:rsidR="00CA77C2" w:rsidRDefault="00CA77C2" w:rsidP="00CA77C2">
      <w:r>
        <w:t xml:space="preserve">Action </w:t>
      </w:r>
      <w:proofErr w:type="gramStart"/>
      <w:r>
        <w:t>lead</w:t>
      </w:r>
      <w:proofErr w:type="gramEnd"/>
      <w:r>
        <w:t xml:space="preserve"> (Partners): </w:t>
      </w:r>
      <w:r w:rsidRPr="000E16F1">
        <w:t>DITRDCA, VE industry</w:t>
      </w:r>
    </w:p>
    <w:p w14:paraId="6654352A" w14:textId="667AC06C" w:rsidR="00CA77C2" w:rsidRPr="00CA77C2" w:rsidRDefault="00CA77C2" w:rsidP="00CA77C2">
      <w:r>
        <w:t xml:space="preserve">Status: </w:t>
      </w:r>
      <w:r w:rsidRPr="00CA77C2">
        <w:t>Underway</w:t>
      </w:r>
    </w:p>
    <w:p w14:paraId="4D4565B9" w14:textId="2886AA06" w:rsidR="00831BED" w:rsidRDefault="00831BED" w:rsidP="00CA77C2">
      <w:pPr>
        <w:pStyle w:val="Heading3"/>
      </w:pPr>
      <w:r>
        <w:t>Action 4.8</w:t>
      </w:r>
    </w:p>
    <w:p w14:paraId="5C5F3FFA" w14:textId="77777777" w:rsidR="00CA77C2" w:rsidRDefault="00CA77C2" w:rsidP="00CA77C2">
      <w:r>
        <w:t xml:space="preserve">Action item: Implement measures to deliver on Australia’s international commitments to achieve net zero emissions by 2050, and to halt and reverse biodiversity loss by 2030. </w:t>
      </w:r>
    </w:p>
    <w:p w14:paraId="5CBA0D43" w14:textId="202D9C88" w:rsidR="00CA77C2" w:rsidRDefault="00CA77C2" w:rsidP="00CA77C2">
      <w:pPr>
        <w:pStyle w:val="BulletList"/>
      </w:pPr>
      <w:r>
        <w:t>Improve sustainability practices in visitor economy businesses in line with international commitments, including by making use of available government programs and through industry-led initiatives.</w:t>
      </w:r>
    </w:p>
    <w:p w14:paraId="689BA15F" w14:textId="1416565B" w:rsidR="00CA77C2" w:rsidRDefault="00CA77C2" w:rsidP="00CA77C2">
      <w:r>
        <w:t xml:space="preserve">Action </w:t>
      </w:r>
      <w:proofErr w:type="gramStart"/>
      <w:r>
        <w:t>lead</w:t>
      </w:r>
      <w:proofErr w:type="gramEnd"/>
      <w:r>
        <w:t xml:space="preserve"> (Partners): </w:t>
      </w:r>
      <w:r w:rsidRPr="00CA77C2">
        <w:t>DCCEEW, S&amp;TG, VE industry</w:t>
      </w:r>
    </w:p>
    <w:p w14:paraId="79C6DA85" w14:textId="016A7C03" w:rsidR="00CA77C2" w:rsidRPr="00CA77C2" w:rsidRDefault="00CA77C2" w:rsidP="00CA77C2">
      <w:r>
        <w:t xml:space="preserve">Status: </w:t>
      </w:r>
      <w:r w:rsidRPr="00CA77C2">
        <w:t>Underway</w:t>
      </w:r>
    </w:p>
    <w:p w14:paraId="0C03746A" w14:textId="5DD7591C" w:rsidR="00831BED" w:rsidRDefault="00831BED" w:rsidP="00CA77C2">
      <w:pPr>
        <w:pStyle w:val="Heading3"/>
      </w:pPr>
      <w:r>
        <w:t>Action 4.9</w:t>
      </w:r>
    </w:p>
    <w:p w14:paraId="185C066C" w14:textId="00FDADCE" w:rsidR="00CA77C2" w:rsidRDefault="00CA77C2" w:rsidP="00CA77C2">
      <w:r>
        <w:t xml:space="preserve">Action item: </w:t>
      </w:r>
      <w:r w:rsidRPr="00CA77C2">
        <w:t xml:space="preserve">Examine the impacts on the travel distribution system brought about by the COVID-19 pandemic, including how businesses and consumers will respond to new and different travelling arrangements, and provide suggestions as to how travel and tourism businesses can change and adapt their sales, </w:t>
      </w:r>
      <w:proofErr w:type="gramStart"/>
      <w:r w:rsidRPr="00CA77C2">
        <w:t>marketing</w:t>
      </w:r>
      <w:proofErr w:type="gramEnd"/>
      <w:r w:rsidRPr="00CA77C2">
        <w:t xml:space="preserve"> and business practices to cater to and embrace the new </w:t>
      </w:r>
      <w:r w:rsidRPr="00CA77C2">
        <w:lastRenderedPageBreak/>
        <w:t>environment. (To be conducted in association with Action 2.6 to study the architecture of the visitor economy.)</w:t>
      </w:r>
    </w:p>
    <w:p w14:paraId="1D6F2E89" w14:textId="6B9DB165" w:rsidR="00CA77C2" w:rsidRDefault="00CA77C2" w:rsidP="00CA77C2">
      <w:r>
        <w:t xml:space="preserve">Action </w:t>
      </w:r>
      <w:proofErr w:type="gramStart"/>
      <w:r>
        <w:t>lead</w:t>
      </w:r>
      <w:proofErr w:type="gramEnd"/>
      <w:r>
        <w:t xml:space="preserve"> (Partners): </w:t>
      </w:r>
      <w:r w:rsidRPr="00CA77C2">
        <w:t>TA, Austrade (S&amp;TG, VE industry)</w:t>
      </w:r>
    </w:p>
    <w:p w14:paraId="713BA5FE" w14:textId="53EC8F45" w:rsidR="00CA77C2" w:rsidRPr="00CA77C2" w:rsidRDefault="00CA77C2" w:rsidP="00CA77C2">
      <w:r>
        <w:t xml:space="preserve">Status: </w:t>
      </w:r>
      <w:r w:rsidRPr="00CA77C2">
        <w:t>Pending</w:t>
      </w:r>
    </w:p>
    <w:p w14:paraId="0C2F067A" w14:textId="12CAE903" w:rsidR="00831BED" w:rsidRDefault="00831BED" w:rsidP="00CA77C2">
      <w:pPr>
        <w:pStyle w:val="Heading3"/>
      </w:pPr>
      <w:r>
        <w:t>Action 4.10</w:t>
      </w:r>
    </w:p>
    <w:p w14:paraId="532FD3A2" w14:textId="3DA3B56B" w:rsidR="00CA77C2" w:rsidRDefault="00CA77C2" w:rsidP="00CA77C2">
      <w:r>
        <w:t xml:space="preserve">Action item: </w:t>
      </w:r>
      <w:r w:rsidRPr="00CA77C2">
        <w:t>Support tourism and accommodation providers to set their own prices when guests contact them directly to book.</w:t>
      </w:r>
    </w:p>
    <w:p w14:paraId="6CD6C524" w14:textId="2B15DE08" w:rsidR="00CA77C2" w:rsidRDefault="00CA77C2" w:rsidP="00CA77C2">
      <w:r>
        <w:t xml:space="preserve">Action </w:t>
      </w:r>
      <w:proofErr w:type="gramStart"/>
      <w:r>
        <w:t>lead</w:t>
      </w:r>
      <w:proofErr w:type="gramEnd"/>
      <w:r>
        <w:t xml:space="preserve"> (Partners): </w:t>
      </w:r>
      <w:r w:rsidRPr="00CA77C2">
        <w:t>Austrade, Treasury, VE industry</w:t>
      </w:r>
    </w:p>
    <w:p w14:paraId="49C38143" w14:textId="18603EF9" w:rsidR="008B2036" w:rsidRDefault="00CA77C2" w:rsidP="00831BED">
      <w:pPr>
        <w:rPr>
          <w:noProof/>
        </w:rPr>
      </w:pPr>
      <w:r>
        <w:t xml:space="preserve">Status: </w:t>
      </w:r>
      <w:r>
        <w:rPr>
          <w:noProof/>
        </w:rPr>
        <w:t>Underway</w:t>
      </w:r>
    </w:p>
    <w:p w14:paraId="3F5C848A" w14:textId="77777777" w:rsidR="008B2036" w:rsidRDefault="008B2036">
      <w:pPr>
        <w:spacing w:before="0" w:after="160" w:line="259" w:lineRule="auto"/>
        <w:rPr>
          <w:noProof/>
        </w:rPr>
      </w:pPr>
      <w:r>
        <w:rPr>
          <w:noProof/>
        </w:rPr>
        <w:br w:type="page"/>
      </w:r>
    </w:p>
    <w:p w14:paraId="3413B26E" w14:textId="77777777" w:rsidR="00CA77C2" w:rsidRDefault="00CA77C2" w:rsidP="00CA77C2">
      <w:pPr>
        <w:pStyle w:val="Heading2"/>
      </w:pPr>
      <w:r>
        <w:lastRenderedPageBreak/>
        <w:t xml:space="preserve">Priority 5: Enhance visitor </w:t>
      </w:r>
      <w:proofErr w:type="gramStart"/>
      <w:r>
        <w:t>infrastructure</w:t>
      </w:r>
      <w:proofErr w:type="gramEnd"/>
    </w:p>
    <w:p w14:paraId="72B0FF0C" w14:textId="77777777" w:rsidR="00CA77C2" w:rsidRDefault="00CA77C2" w:rsidP="00CA77C2">
      <w:r>
        <w:t xml:space="preserve">Government, </w:t>
      </w:r>
      <w:proofErr w:type="gramStart"/>
      <w:r>
        <w:t>industry</w:t>
      </w:r>
      <w:proofErr w:type="gramEnd"/>
      <w:r>
        <w:t xml:space="preserve"> and investors are actively driving investment into tourism infrastructure and assets. Private sector investment remains buoyant, with strong interest in both metropolitan and regional accommodation assets pointing to investor confidence in the sector. Governments continue to invest in affiliated infrastructure, including at the Commonwealth-level through airport infrastructure investment, road renewal, the City and Regional Deals programs, Commonwealth-managed National Parks, and new regional infrastructure programs. The Government also continues its investment in upgrading passenger processing technology at international airports.</w:t>
      </w:r>
    </w:p>
    <w:p w14:paraId="79A188F6" w14:textId="0B356E71" w:rsidR="00CA77C2" w:rsidRDefault="00CA77C2" w:rsidP="00CA77C2">
      <w:r>
        <w:t xml:space="preserve">Key regulatory reforms to encourage and streamline investment are also underway. Examples include the Government’s Aviation White Paper and the Nature Positive Plan, which will improve trust, </w:t>
      </w:r>
      <w:proofErr w:type="gramStart"/>
      <w:r>
        <w:t>transparency</w:t>
      </w:r>
      <w:proofErr w:type="gramEnd"/>
      <w:r>
        <w:t xml:space="preserve"> and efficiency for environmental approvals. The Government is also taking steps to improve the update of more accessible visitor infrastructure to offer more inclusive experiences.</w:t>
      </w:r>
    </w:p>
    <w:p w14:paraId="061DAC68" w14:textId="5B3C678C" w:rsidR="00CA77C2" w:rsidRDefault="00CA77C2" w:rsidP="00F9423F">
      <w:pPr>
        <w:pStyle w:val="Heading3"/>
      </w:pPr>
      <w:r>
        <w:t>Action 5.1</w:t>
      </w:r>
    </w:p>
    <w:p w14:paraId="708E4A04" w14:textId="5769BD75" w:rsidR="00F9423F" w:rsidRDefault="00F9423F" w:rsidP="00F9423F">
      <w:r>
        <w:t xml:space="preserve">Action item: </w:t>
      </w:r>
    </w:p>
    <w:p w14:paraId="0CB7B376" w14:textId="7CF68A45" w:rsidR="00F9423F" w:rsidRDefault="00F9423F" w:rsidP="00F9423F">
      <w:pPr>
        <w:pStyle w:val="NumberedList"/>
        <w:numPr>
          <w:ilvl w:val="0"/>
          <w:numId w:val="17"/>
        </w:numPr>
      </w:pPr>
      <w:r w:rsidRPr="00F9423F">
        <w:t>The Commonwealth, state and territory governments and industry will work together to ensure that infrastructure best meets the needs of the visitor economy. This includes the well-planned delivery of safe land transport infrastructure to support the wellbeing of communities and visitors.</w:t>
      </w:r>
    </w:p>
    <w:p w14:paraId="2D66CFFF" w14:textId="0BA3B0F9" w:rsidR="00891B5C" w:rsidRDefault="00891B5C" w:rsidP="00891B5C">
      <w:r>
        <w:t xml:space="preserve">Action </w:t>
      </w:r>
      <w:proofErr w:type="gramStart"/>
      <w:r>
        <w:t>lead</w:t>
      </w:r>
      <w:proofErr w:type="gramEnd"/>
      <w:r>
        <w:t xml:space="preserve"> (Partners): </w:t>
      </w:r>
      <w:r w:rsidRPr="00891B5C">
        <w:t>DITRDCA, Austrade, S&amp;TG, LG, VE industry</w:t>
      </w:r>
    </w:p>
    <w:p w14:paraId="386AA528" w14:textId="4847CC9D" w:rsidR="00891B5C" w:rsidRDefault="00F9423F" w:rsidP="00891B5C">
      <w:pPr>
        <w:pStyle w:val="NumberedList"/>
        <w:numPr>
          <w:ilvl w:val="0"/>
          <w:numId w:val="17"/>
        </w:numPr>
      </w:pPr>
      <w:r w:rsidRPr="00F9423F">
        <w:t xml:space="preserve">Stimulate domestic accommodation, </w:t>
      </w:r>
      <w:proofErr w:type="gramStart"/>
      <w:r w:rsidRPr="00F9423F">
        <w:t>travel</w:t>
      </w:r>
      <w:proofErr w:type="gramEnd"/>
      <w:r w:rsidRPr="00F9423F">
        <w:t xml:space="preserve"> and attractions for both regions and metropolitan visitor economies through voucher programs in partnership with state and territory governments.</w:t>
      </w:r>
    </w:p>
    <w:p w14:paraId="5DCED4BB" w14:textId="05817B88" w:rsidR="00F9423F" w:rsidRDefault="00F9423F" w:rsidP="00F9423F">
      <w:r>
        <w:t xml:space="preserve">Action </w:t>
      </w:r>
      <w:proofErr w:type="gramStart"/>
      <w:r>
        <w:t>lead</w:t>
      </w:r>
      <w:proofErr w:type="gramEnd"/>
      <w:r>
        <w:t xml:space="preserve"> (Partners): </w:t>
      </w:r>
      <w:r w:rsidRPr="00F9423F">
        <w:t>VE industry</w:t>
      </w:r>
      <w:r>
        <w:t xml:space="preserve">, </w:t>
      </w:r>
      <w:r w:rsidRPr="00F9423F">
        <w:t>including Tourism</w:t>
      </w:r>
      <w:r>
        <w:t xml:space="preserve"> </w:t>
      </w:r>
      <w:r w:rsidRPr="00F9423F">
        <w:t>Accommodation Australia and the Australian Hotels Association</w:t>
      </w:r>
    </w:p>
    <w:p w14:paraId="7217A56A" w14:textId="7C5531E4" w:rsidR="00F9423F" w:rsidRPr="00F9423F" w:rsidRDefault="00F9423F" w:rsidP="00F9423F">
      <w:r>
        <w:t xml:space="preserve">Status: </w:t>
      </w:r>
      <w:r w:rsidRPr="00F9423F">
        <w:t>Underway</w:t>
      </w:r>
    </w:p>
    <w:p w14:paraId="0ED78DE9" w14:textId="4A9EE1FE" w:rsidR="00CA77C2" w:rsidRDefault="00CA77C2" w:rsidP="00F9423F">
      <w:pPr>
        <w:pStyle w:val="Heading3"/>
      </w:pPr>
      <w:r>
        <w:t>Action 5.2</w:t>
      </w:r>
    </w:p>
    <w:p w14:paraId="6A8F3F0E" w14:textId="77777777" w:rsidR="00F9423F" w:rsidRDefault="00F9423F" w:rsidP="00F9423F">
      <w:r>
        <w:t xml:space="preserve">Action item: </w:t>
      </w:r>
    </w:p>
    <w:p w14:paraId="6AA2C855" w14:textId="25C3FB5F" w:rsidR="00F9423F" w:rsidRDefault="00F9423F" w:rsidP="00F9423F">
      <w:pPr>
        <w:pStyle w:val="NumberedList"/>
        <w:numPr>
          <w:ilvl w:val="0"/>
          <w:numId w:val="18"/>
        </w:numPr>
      </w:pPr>
      <w:r w:rsidRPr="00F9423F">
        <w:t>Facilitate investment, including through appropriate foreign direct investment programs, to create new and refreshed offerings, for example by governments working to reduce regulatory barriers to appropriate development of visitor infrastructure such as luxury accommodation in natural environments.</w:t>
      </w:r>
    </w:p>
    <w:p w14:paraId="310A845C" w14:textId="1EBB71EB" w:rsidR="00F9423F" w:rsidRDefault="00F9423F" w:rsidP="00F9423F">
      <w:pPr>
        <w:pStyle w:val="NumberedList"/>
        <w:numPr>
          <w:ilvl w:val="0"/>
          <w:numId w:val="18"/>
        </w:numPr>
      </w:pPr>
      <w:r w:rsidRPr="00F9423F">
        <w:t>Support upgrades to caravan parks, which deliver affordable accommodation options for travellers, particularly families.</w:t>
      </w:r>
    </w:p>
    <w:p w14:paraId="01EC5D71" w14:textId="2D2BEA25" w:rsidR="00F9423F" w:rsidRDefault="00F9423F" w:rsidP="00F9423F">
      <w:r>
        <w:t xml:space="preserve">Action </w:t>
      </w:r>
      <w:proofErr w:type="gramStart"/>
      <w:r>
        <w:t>lead</w:t>
      </w:r>
      <w:proofErr w:type="gramEnd"/>
      <w:r>
        <w:t xml:space="preserve"> (Partners): </w:t>
      </w:r>
      <w:r w:rsidRPr="00F9423F">
        <w:t>VE industry, Austrade, S&amp;TG, LG, DCCEEW</w:t>
      </w:r>
    </w:p>
    <w:p w14:paraId="5A257914" w14:textId="447D7407" w:rsidR="00F9423F" w:rsidRPr="00F9423F" w:rsidRDefault="00F9423F" w:rsidP="00F9423F">
      <w:r>
        <w:lastRenderedPageBreak/>
        <w:t xml:space="preserve">Status: </w:t>
      </w:r>
      <w:r w:rsidRPr="00F9423F">
        <w:t>Underway</w:t>
      </w:r>
    </w:p>
    <w:p w14:paraId="4E306050" w14:textId="1B76479E" w:rsidR="00CA77C2" w:rsidRDefault="00CA77C2" w:rsidP="00F9423F">
      <w:pPr>
        <w:pStyle w:val="Heading3"/>
      </w:pPr>
      <w:r>
        <w:t>Action 5.3</w:t>
      </w:r>
    </w:p>
    <w:p w14:paraId="3A2F1833" w14:textId="7E97522F" w:rsidR="00F9423F" w:rsidRDefault="00F9423F" w:rsidP="00F9423F">
      <w:r>
        <w:t xml:space="preserve">Action item: </w:t>
      </w:r>
      <w:r w:rsidRPr="00F9423F">
        <w:t xml:space="preserve">Develop assets, infrastructure and experiences that are accessible to all people, regardless of physical limitations, </w:t>
      </w:r>
      <w:proofErr w:type="gramStart"/>
      <w:r w:rsidRPr="00F9423F">
        <w:t>disability</w:t>
      </w:r>
      <w:proofErr w:type="gramEnd"/>
      <w:r w:rsidRPr="00F9423F">
        <w:t xml:space="preserve"> or age.</w:t>
      </w:r>
    </w:p>
    <w:p w14:paraId="3BC02702" w14:textId="3E10E66B" w:rsidR="00F9423F" w:rsidRDefault="00F9423F" w:rsidP="00F9423F">
      <w:r>
        <w:t xml:space="preserve">Action </w:t>
      </w:r>
      <w:proofErr w:type="gramStart"/>
      <w:r>
        <w:t>lead</w:t>
      </w:r>
      <w:proofErr w:type="gramEnd"/>
      <w:r>
        <w:t xml:space="preserve"> (Partners): VE industry, Austrade, S&amp;TG, LG</w:t>
      </w:r>
    </w:p>
    <w:p w14:paraId="4EBCC06E" w14:textId="7EC16D51" w:rsidR="00F9423F" w:rsidRPr="00F9423F" w:rsidRDefault="00F9423F" w:rsidP="00F9423F">
      <w:r>
        <w:t xml:space="preserve">Status: </w:t>
      </w:r>
      <w:r w:rsidRPr="00F9423F">
        <w:t>Underway</w:t>
      </w:r>
    </w:p>
    <w:p w14:paraId="3D51EF7B" w14:textId="37EA8647" w:rsidR="00CA77C2" w:rsidRDefault="00CA77C2" w:rsidP="00F9423F">
      <w:pPr>
        <w:pStyle w:val="Heading3"/>
      </w:pPr>
      <w:r>
        <w:t>Action 5.4</w:t>
      </w:r>
    </w:p>
    <w:p w14:paraId="3E9C21DE" w14:textId="0B380912" w:rsidR="00F9423F" w:rsidRDefault="00F9423F" w:rsidP="00F9423F">
      <w:r>
        <w:t xml:space="preserve">Action item: </w:t>
      </w:r>
      <w:r w:rsidRPr="00F9423F">
        <w:t xml:space="preserve">Prioritise new destination development through use of holistic destination development plans, </w:t>
      </w:r>
      <w:proofErr w:type="gramStart"/>
      <w:r w:rsidRPr="00F9423F">
        <w:t>community</w:t>
      </w:r>
      <w:proofErr w:type="gramEnd"/>
      <w:r w:rsidRPr="00F9423F">
        <w:t xml:space="preserve"> and stakeholder collaboration, and streamlined regulatory approvals.</w:t>
      </w:r>
    </w:p>
    <w:p w14:paraId="06CC1B44" w14:textId="559C7B65" w:rsidR="00F9423F" w:rsidRDefault="00F9423F" w:rsidP="00F9423F">
      <w:r>
        <w:t xml:space="preserve">Action </w:t>
      </w:r>
      <w:proofErr w:type="gramStart"/>
      <w:r>
        <w:t>lead</w:t>
      </w:r>
      <w:proofErr w:type="gramEnd"/>
      <w:r>
        <w:t xml:space="preserve"> (Partners):</w:t>
      </w:r>
      <w:r w:rsidRPr="00F9423F">
        <w:t xml:space="preserve"> VE industry, S&amp;TG, LG</w:t>
      </w:r>
      <w:r>
        <w:t xml:space="preserve"> </w:t>
      </w:r>
    </w:p>
    <w:p w14:paraId="5BD2BCA6" w14:textId="71CFE7BB" w:rsidR="00F9423F" w:rsidRPr="00F9423F" w:rsidRDefault="00F9423F" w:rsidP="00F9423F">
      <w:r>
        <w:t xml:space="preserve">Status: </w:t>
      </w:r>
      <w:r w:rsidRPr="00F9423F">
        <w:t>Underway</w:t>
      </w:r>
    </w:p>
    <w:p w14:paraId="7549D7A6" w14:textId="541D233E" w:rsidR="00CA77C2" w:rsidRDefault="00CA77C2" w:rsidP="00F9423F">
      <w:pPr>
        <w:pStyle w:val="Heading3"/>
      </w:pPr>
      <w:r>
        <w:t>Action 5.5</w:t>
      </w:r>
    </w:p>
    <w:p w14:paraId="0144B1E6" w14:textId="77777777" w:rsidR="00F9423F" w:rsidRDefault="00F9423F" w:rsidP="00F9423F">
      <w:r>
        <w:t xml:space="preserve">Action item: </w:t>
      </w:r>
    </w:p>
    <w:p w14:paraId="01EE4E7D" w14:textId="71618F79" w:rsidR="00F9423F" w:rsidRDefault="00F9423F" w:rsidP="00F9423F">
      <w:pPr>
        <w:pStyle w:val="NumberedList"/>
        <w:numPr>
          <w:ilvl w:val="0"/>
          <w:numId w:val="19"/>
        </w:numPr>
      </w:pPr>
      <w:r w:rsidRPr="004254E4">
        <w:t>Improve tourism infrastructure in regional areas, including through the rollout of regional infrastructure programs, noting the importance of good-quality roads to connect visitors and communities to attractions and services.</w:t>
      </w:r>
    </w:p>
    <w:p w14:paraId="69FA5063" w14:textId="44AE05E8" w:rsidR="00F9423F" w:rsidRDefault="00F9423F" w:rsidP="00F9423F">
      <w:pPr>
        <w:pStyle w:val="NumberedList"/>
      </w:pPr>
      <w:r>
        <w:t xml:space="preserve">City Deals with Darwin, Hobart, Perth, Townsville and Geelong, and Regional Deals with Hinkler and Barkly, will continue to deliver improved visitor economy infrastructure, including sporting and cultural facilities, airports, </w:t>
      </w:r>
      <w:proofErr w:type="gramStart"/>
      <w:r>
        <w:t>attractions</w:t>
      </w:r>
      <w:proofErr w:type="gramEnd"/>
      <w:r>
        <w:t xml:space="preserve"> and public realm amenity.</w:t>
      </w:r>
    </w:p>
    <w:p w14:paraId="5668DB30" w14:textId="67CE0126" w:rsidR="00F9423F" w:rsidRDefault="00F9423F" w:rsidP="00F9423F">
      <w:pPr>
        <w:pStyle w:val="NumberedList"/>
      </w:pPr>
      <w:r>
        <w:t>The $2.5 billion Local Roads and Community Infrastructure Program will support local councils across Australia to deliver priority local infrastructure projects to support local communities including roads, parks and sports facilities, and bike paths.</w:t>
      </w:r>
    </w:p>
    <w:p w14:paraId="436983A5" w14:textId="6390C51F" w:rsidR="00F9423F" w:rsidRDefault="00F9423F" w:rsidP="00F9423F">
      <w:r>
        <w:t xml:space="preserve">Action </w:t>
      </w:r>
      <w:proofErr w:type="gramStart"/>
      <w:r>
        <w:t>lead</w:t>
      </w:r>
      <w:proofErr w:type="gramEnd"/>
      <w:r>
        <w:t xml:space="preserve"> (Partners): </w:t>
      </w:r>
      <w:r w:rsidRPr="00F9423F">
        <w:t>DITRDCA, S&amp;TG, LG (NEMA)</w:t>
      </w:r>
    </w:p>
    <w:p w14:paraId="3A8451D8" w14:textId="390CBA1D" w:rsidR="00F9423F" w:rsidRPr="00F9423F" w:rsidRDefault="00F9423F" w:rsidP="00F9423F">
      <w:r>
        <w:t xml:space="preserve">Status: </w:t>
      </w:r>
      <w:r w:rsidRPr="00F9423F">
        <w:t>Underway</w:t>
      </w:r>
    </w:p>
    <w:p w14:paraId="69B907FA" w14:textId="7EAF3128" w:rsidR="00CA77C2" w:rsidRDefault="00CA77C2" w:rsidP="00F9423F">
      <w:pPr>
        <w:pStyle w:val="Heading3"/>
      </w:pPr>
      <w:r>
        <w:t>Action 5.6</w:t>
      </w:r>
    </w:p>
    <w:p w14:paraId="65A06EBD" w14:textId="51752140" w:rsidR="00F9423F" w:rsidRDefault="00F9423F" w:rsidP="00F9423F">
      <w:r>
        <w:t xml:space="preserve">Action item: </w:t>
      </w:r>
      <w:r w:rsidRPr="00F9423F">
        <w:t>Improve and maintain public infrastructure in national parks and World Heritage Areas, according to master planning and destination management planning developed alongside Traditional Owners, including through the following programs:</w:t>
      </w:r>
    </w:p>
    <w:p w14:paraId="580E6EF6" w14:textId="30BB6167" w:rsidR="00F9423F" w:rsidRDefault="00F9423F" w:rsidP="00F9423F">
      <w:pPr>
        <w:pStyle w:val="BulletList"/>
      </w:pPr>
      <w:r w:rsidRPr="00F9423F">
        <w:t>$233 million investment in infrastructure updates across Commonwealth-managed national parks.</w:t>
      </w:r>
    </w:p>
    <w:p w14:paraId="7599F6FF" w14:textId="1E6901BE" w:rsidR="00F9423F" w:rsidRDefault="00F9423F" w:rsidP="00F9423F">
      <w:pPr>
        <w:pStyle w:val="BulletList"/>
      </w:pPr>
      <w:r w:rsidRPr="00F9423F">
        <w:lastRenderedPageBreak/>
        <w:t>$216 million to grow tourism in Kakadu National Park, including through improved road access, new visitor infrastructure and improved telecommunications.</w:t>
      </w:r>
    </w:p>
    <w:p w14:paraId="56C52918" w14:textId="7CC228D1" w:rsidR="00F9423F" w:rsidRDefault="00F9423F" w:rsidP="00F9423F">
      <w:r>
        <w:t xml:space="preserve">Action </w:t>
      </w:r>
      <w:proofErr w:type="gramStart"/>
      <w:r>
        <w:t>lead</w:t>
      </w:r>
      <w:proofErr w:type="gramEnd"/>
      <w:r>
        <w:t xml:space="preserve"> (Partners): </w:t>
      </w:r>
      <w:r w:rsidRPr="00F9423F">
        <w:t>Director of National Parks (DCCEEW), Traditional Owners, S&amp;TG</w:t>
      </w:r>
    </w:p>
    <w:p w14:paraId="7FE09426" w14:textId="5A452960" w:rsidR="00F9423F" w:rsidRPr="00F9423F" w:rsidRDefault="00F9423F" w:rsidP="00F9423F">
      <w:r>
        <w:t xml:space="preserve">Status: </w:t>
      </w:r>
      <w:r w:rsidRPr="00F9423F">
        <w:t>Underway</w:t>
      </w:r>
    </w:p>
    <w:p w14:paraId="10CC3D57" w14:textId="6645E2B3" w:rsidR="00CA77C2" w:rsidRDefault="00CA77C2" w:rsidP="00F9423F">
      <w:pPr>
        <w:pStyle w:val="Heading3"/>
      </w:pPr>
      <w:r>
        <w:t>Action 5.7</w:t>
      </w:r>
    </w:p>
    <w:p w14:paraId="5E47EC94" w14:textId="27FC38FC" w:rsidR="00F9423F" w:rsidRDefault="00F9423F" w:rsidP="00F9423F">
      <w:r>
        <w:t xml:space="preserve">Action item: </w:t>
      </w:r>
      <w:r w:rsidRPr="004254E4">
        <w:t>Identify and deliver improved visitor assets and resources at culturally significant sites.</w:t>
      </w:r>
    </w:p>
    <w:p w14:paraId="084BE4E0" w14:textId="35EDD8CF" w:rsidR="00F9423F" w:rsidRDefault="00F9423F" w:rsidP="00F9423F">
      <w:r>
        <w:t xml:space="preserve">Action </w:t>
      </w:r>
      <w:proofErr w:type="gramStart"/>
      <w:r>
        <w:t>lead</w:t>
      </w:r>
      <w:proofErr w:type="gramEnd"/>
      <w:r>
        <w:t xml:space="preserve"> (Partners): </w:t>
      </w:r>
      <w:r w:rsidRPr="00F9423F">
        <w:t>VE industry, Traditional Owners, NIAA, Director of National Parks</w:t>
      </w:r>
      <w:r>
        <w:t xml:space="preserve"> </w:t>
      </w:r>
      <w:r w:rsidRPr="00F9423F">
        <w:t>(DCCEEW), S&amp;TG, LG</w:t>
      </w:r>
    </w:p>
    <w:p w14:paraId="0B6C8C1D" w14:textId="1841A1BC" w:rsidR="00F9423F" w:rsidRPr="00F9423F" w:rsidRDefault="00F9423F" w:rsidP="00F9423F">
      <w:r>
        <w:t xml:space="preserve">Status: </w:t>
      </w:r>
      <w:r w:rsidRPr="0032698D">
        <w:t>Underway</w:t>
      </w:r>
    </w:p>
    <w:p w14:paraId="5F64DDFB" w14:textId="7E793504" w:rsidR="00CA77C2" w:rsidRDefault="00CA77C2" w:rsidP="00F9423F">
      <w:pPr>
        <w:pStyle w:val="Heading3"/>
      </w:pPr>
      <w:r>
        <w:t>Action 5.8</w:t>
      </w:r>
    </w:p>
    <w:p w14:paraId="0363DAC9" w14:textId="77777777" w:rsidR="00F9423F" w:rsidRDefault="00F9423F" w:rsidP="00F9423F">
      <w:r>
        <w:t xml:space="preserve">Action item: </w:t>
      </w:r>
    </w:p>
    <w:p w14:paraId="0FD3E8F2" w14:textId="15EDDB77" w:rsidR="00F9423F" w:rsidRDefault="00F9423F" w:rsidP="00F9423F">
      <w:pPr>
        <w:pStyle w:val="NumberedList"/>
        <w:numPr>
          <w:ilvl w:val="0"/>
          <w:numId w:val="20"/>
        </w:numPr>
      </w:pPr>
      <w:r w:rsidRPr="004254E4">
        <w:t>Ensure that regional airport facilities meet the needs of visitors and communities.</w:t>
      </w:r>
    </w:p>
    <w:p w14:paraId="51601DD9" w14:textId="7ADEA465" w:rsidR="00F9423F" w:rsidRDefault="00F9423F" w:rsidP="00F9423F">
      <w:pPr>
        <w:pStyle w:val="NumberedList"/>
      </w:pPr>
      <w:r>
        <w:t xml:space="preserve">Continue to support regional and remote aviation, for example, through the </w:t>
      </w:r>
      <w:r w:rsidRPr="5B716C6F">
        <w:rPr>
          <w:i/>
          <w:iCs/>
        </w:rPr>
        <w:t>Remote Airstrip Upgrade Program</w:t>
      </w:r>
      <w:r>
        <w:t xml:space="preserve"> (RAU), which supports improved aviation safety and accessibility at remote aerodromes.</w:t>
      </w:r>
    </w:p>
    <w:p w14:paraId="28CCF07E" w14:textId="01D213D9" w:rsidR="00F9423F" w:rsidRDefault="00F9423F" w:rsidP="00F9423F">
      <w:r>
        <w:t xml:space="preserve">Action </w:t>
      </w:r>
      <w:proofErr w:type="gramStart"/>
      <w:r>
        <w:t>lead</w:t>
      </w:r>
      <w:proofErr w:type="gramEnd"/>
      <w:r>
        <w:t xml:space="preserve"> (Partners): DITRDCA, LG, VE industry</w:t>
      </w:r>
    </w:p>
    <w:p w14:paraId="3A024027" w14:textId="6032F128" w:rsidR="00F9423F" w:rsidRPr="00F9423F" w:rsidRDefault="00F9423F" w:rsidP="00F9423F">
      <w:r>
        <w:t xml:space="preserve">Status: </w:t>
      </w:r>
      <w:r w:rsidRPr="00F9423F">
        <w:t>Underway</w:t>
      </w:r>
    </w:p>
    <w:p w14:paraId="49EF9B91" w14:textId="59B9B292" w:rsidR="00CA77C2" w:rsidRDefault="00CA77C2" w:rsidP="00F9423F">
      <w:pPr>
        <w:pStyle w:val="Heading3"/>
      </w:pPr>
      <w:r>
        <w:t>Action 5.9</w:t>
      </w:r>
    </w:p>
    <w:p w14:paraId="049022A2" w14:textId="25A10707" w:rsidR="00F9423F" w:rsidRDefault="00F9423F" w:rsidP="00F9423F">
      <w:r>
        <w:t xml:space="preserve">Action item: </w:t>
      </w:r>
      <w:r w:rsidRPr="00F9423F">
        <w:t>Continue to upgrade passenger facilitation methods and infrastructure consistent with approaches to modernise traveller facilitation and border clearance.</w:t>
      </w:r>
    </w:p>
    <w:p w14:paraId="288D5228" w14:textId="75423C66" w:rsidR="00F9423F" w:rsidRDefault="00F9423F" w:rsidP="00F9423F">
      <w:r>
        <w:t xml:space="preserve">Action </w:t>
      </w:r>
      <w:proofErr w:type="gramStart"/>
      <w:r>
        <w:t>lead</w:t>
      </w:r>
      <w:proofErr w:type="gramEnd"/>
      <w:r>
        <w:t xml:space="preserve"> (Partners): </w:t>
      </w:r>
      <w:r w:rsidRPr="00F9423F">
        <w:t>ABF, VE industry</w:t>
      </w:r>
    </w:p>
    <w:p w14:paraId="45205600" w14:textId="408EEECB" w:rsidR="00F9423F" w:rsidRPr="00F9423F" w:rsidRDefault="00F9423F" w:rsidP="00F9423F">
      <w:r>
        <w:t xml:space="preserve">Status: </w:t>
      </w:r>
      <w:r w:rsidRPr="00F9423F">
        <w:t>Underway</w:t>
      </w:r>
    </w:p>
    <w:p w14:paraId="7A453EE3" w14:textId="6DFCAD1D" w:rsidR="00CA77C2" w:rsidRDefault="00CA77C2" w:rsidP="00F9423F">
      <w:pPr>
        <w:pStyle w:val="Heading3"/>
      </w:pPr>
      <w:r>
        <w:t>Action 5.10</w:t>
      </w:r>
    </w:p>
    <w:p w14:paraId="3D8E77C5" w14:textId="784A0FCC" w:rsidR="00F9423F" w:rsidRDefault="00F9423F" w:rsidP="00F9423F">
      <w:r>
        <w:t xml:space="preserve">Action item: </w:t>
      </w:r>
      <w:r w:rsidRPr="00F9423F">
        <w:t>Deliver an Aviation White Paper to set the long-term policies to guide the next generation of growth and innovation in the aviation sector.</w:t>
      </w:r>
    </w:p>
    <w:p w14:paraId="1D958607" w14:textId="64CFB0A4" w:rsidR="00F9423F" w:rsidRDefault="00F9423F" w:rsidP="00F9423F">
      <w:r>
        <w:t xml:space="preserve">Action </w:t>
      </w:r>
      <w:proofErr w:type="gramStart"/>
      <w:r>
        <w:t>lead</w:t>
      </w:r>
      <w:proofErr w:type="gramEnd"/>
      <w:r>
        <w:t xml:space="preserve"> (Partners): </w:t>
      </w:r>
      <w:r w:rsidRPr="00F9423F">
        <w:t>DITRDCA (VE industry)</w:t>
      </w:r>
    </w:p>
    <w:p w14:paraId="7FDC329C" w14:textId="29B0DDB0" w:rsidR="00F9423F" w:rsidRPr="00F9423F" w:rsidRDefault="00F9423F" w:rsidP="00F9423F">
      <w:r>
        <w:t xml:space="preserve">Status: </w:t>
      </w:r>
      <w:r w:rsidRPr="00F9423F">
        <w:t>Underway</w:t>
      </w:r>
    </w:p>
    <w:p w14:paraId="7C02243B" w14:textId="6CDA0D49" w:rsidR="00CA77C2" w:rsidRDefault="00CA77C2" w:rsidP="00F9423F">
      <w:pPr>
        <w:pStyle w:val="Heading3"/>
      </w:pPr>
      <w:r>
        <w:lastRenderedPageBreak/>
        <w:t>Action 5.11</w:t>
      </w:r>
    </w:p>
    <w:p w14:paraId="1E416FD9" w14:textId="06B1053F" w:rsidR="00F9423F" w:rsidRDefault="00F9423F" w:rsidP="00F9423F">
      <w:r>
        <w:t xml:space="preserve">Action item: </w:t>
      </w:r>
      <w:r w:rsidRPr="00F9423F">
        <w:t>Work cooperatively to maximise the return of inbound aviation capacity.</w:t>
      </w:r>
    </w:p>
    <w:p w14:paraId="4F6C8A8F" w14:textId="023D028D" w:rsidR="00F9423F" w:rsidRDefault="00F9423F" w:rsidP="00F9423F">
      <w:r>
        <w:t xml:space="preserve">Action </w:t>
      </w:r>
      <w:proofErr w:type="gramStart"/>
      <w:r>
        <w:t>lead</w:t>
      </w:r>
      <w:proofErr w:type="gramEnd"/>
      <w:r>
        <w:t xml:space="preserve"> (Partners): </w:t>
      </w:r>
      <w:r w:rsidRPr="00F9423F">
        <w:t>S&amp;TG, Tourism Australia, Austrade, VE industry</w:t>
      </w:r>
    </w:p>
    <w:p w14:paraId="0E9FA9CA" w14:textId="473C6010" w:rsidR="00F9423F" w:rsidRPr="00F9423F" w:rsidRDefault="00F9423F" w:rsidP="00F9423F">
      <w:r>
        <w:t xml:space="preserve">Status: </w:t>
      </w:r>
      <w:r w:rsidRPr="00F9423F">
        <w:t>Underway</w:t>
      </w:r>
    </w:p>
    <w:p w14:paraId="21DB62E9" w14:textId="610B1D3C" w:rsidR="00CA77C2" w:rsidRDefault="00CA77C2" w:rsidP="00F9423F">
      <w:pPr>
        <w:pStyle w:val="Heading3"/>
      </w:pPr>
      <w:r>
        <w:t>Action 5.12</w:t>
      </w:r>
    </w:p>
    <w:p w14:paraId="0482969A" w14:textId="77777777" w:rsidR="00F9423F" w:rsidRDefault="00F9423F" w:rsidP="00F9423F">
      <w:r>
        <w:t xml:space="preserve">Action item: </w:t>
      </w:r>
    </w:p>
    <w:p w14:paraId="1E856131" w14:textId="5E34F582" w:rsidR="00F9423F" w:rsidRDefault="00F9423F" w:rsidP="00F9423F">
      <w:pPr>
        <w:pStyle w:val="NumberedList"/>
        <w:numPr>
          <w:ilvl w:val="0"/>
          <w:numId w:val="21"/>
        </w:numPr>
      </w:pPr>
      <w:r w:rsidRPr="004254E4">
        <w:t>Work collaboratively to address barriers to maximising the contribution from the cruise sector and managing associated community expectations.</w:t>
      </w:r>
    </w:p>
    <w:p w14:paraId="5E719FE4" w14:textId="770941E6" w:rsidR="00F9423F" w:rsidRDefault="00F9423F" w:rsidP="00F9423F">
      <w:pPr>
        <w:pStyle w:val="NumberedList"/>
      </w:pPr>
      <w:r>
        <w:t>Grow the cruise market in Australia with the goal of converting cruise participation into domestic spend, including through the tripartite MOU between TA, Cruise Lines International Association (CLIA) and Australian Cruise Association (ACA).</w:t>
      </w:r>
    </w:p>
    <w:p w14:paraId="1A899BE3" w14:textId="2C2E1F12" w:rsidR="00F9423F" w:rsidRDefault="00F9423F" w:rsidP="00F9423F">
      <w:pPr>
        <w:pStyle w:val="NumberedList"/>
      </w:pPr>
      <w:r>
        <w:t>Collaborate to ensure consistent and effective border management.</w:t>
      </w:r>
    </w:p>
    <w:p w14:paraId="702408A0" w14:textId="316BD9A3" w:rsidR="00F9423F" w:rsidRDefault="00F9423F" w:rsidP="00F9423F">
      <w:pPr>
        <w:pStyle w:val="NumberedList"/>
      </w:pPr>
      <w:r>
        <w:t>Improve port infrastructure.</w:t>
      </w:r>
    </w:p>
    <w:p w14:paraId="52C943C7" w14:textId="0E3A010A" w:rsidR="00F9423F" w:rsidRDefault="00F9423F" w:rsidP="00F9423F">
      <w:pPr>
        <w:pStyle w:val="NumberedList"/>
      </w:pPr>
      <w:r>
        <w:t>Increase benefit to regional communities from cruise visitation.</w:t>
      </w:r>
    </w:p>
    <w:p w14:paraId="20D855E8" w14:textId="419C01C4" w:rsidR="00F9423F" w:rsidRDefault="00F9423F" w:rsidP="00F9423F">
      <w:r>
        <w:t xml:space="preserve">Action </w:t>
      </w:r>
      <w:proofErr w:type="gramStart"/>
      <w:r>
        <w:t>lead</w:t>
      </w:r>
      <w:proofErr w:type="gramEnd"/>
      <w:r>
        <w:t xml:space="preserve"> (Partners): Austrade, Home Affairs, TA, S&amp;TG, VE industry</w:t>
      </w:r>
    </w:p>
    <w:p w14:paraId="0F09C2CB" w14:textId="64AB2011" w:rsidR="00F9423F" w:rsidRDefault="00F9423F" w:rsidP="00F9423F">
      <w:r>
        <w:t xml:space="preserve">Status: </w:t>
      </w:r>
      <w:r w:rsidRPr="00F9423F">
        <w:t>Underway</w:t>
      </w:r>
    </w:p>
    <w:p w14:paraId="13FA13CE" w14:textId="77777777" w:rsidR="00F9423F" w:rsidRDefault="00F9423F">
      <w:pPr>
        <w:spacing w:before="0" w:after="160" w:line="259" w:lineRule="auto"/>
      </w:pPr>
      <w:r>
        <w:br w:type="page"/>
      </w:r>
    </w:p>
    <w:p w14:paraId="69676120" w14:textId="77777777" w:rsidR="00F9423F" w:rsidRDefault="00F9423F" w:rsidP="00F9423F">
      <w:pPr>
        <w:pStyle w:val="Heading2"/>
      </w:pPr>
      <w:r>
        <w:lastRenderedPageBreak/>
        <w:t xml:space="preserve">Priority 6: Build markets and attract </w:t>
      </w:r>
      <w:proofErr w:type="gramStart"/>
      <w:r>
        <w:t>visitors</w:t>
      </w:r>
      <w:proofErr w:type="gramEnd"/>
    </w:p>
    <w:p w14:paraId="3E05E72F" w14:textId="77777777" w:rsidR="00F9423F" w:rsidRDefault="00F9423F" w:rsidP="00F9423F">
      <w:proofErr w:type="gramStart"/>
      <w:r>
        <w:t>Following the re-opening of the international and internal borders, there</w:t>
      </w:r>
      <w:proofErr w:type="gramEnd"/>
      <w:r>
        <w:t xml:space="preserve"> has been a strong focus on activities to attract international visitors back to Australia but also to maintain the strong domestic visitation both interstate and intrastate that built over the pandemic period. </w:t>
      </w:r>
    </w:p>
    <w:p w14:paraId="0382D8C2" w14:textId="77777777" w:rsidR="00F9423F" w:rsidRDefault="00F9423F" w:rsidP="00F9423F">
      <w:r>
        <w:t xml:space="preserve">Tourism Australia and state and territory governments have invested in marketing and aviation attraction while the Department of Home Affairs continues to address the challenges of the visa system in a bid to increase competitiveness for a range of visitors including international students.  The Government has also committed to funding programs to assist industry to re-engage with the international market, strengthen its capacity through training programs and address key opportunities such as improved accessibility. Funding has continued in programs for festivals, </w:t>
      </w:r>
      <w:proofErr w:type="gramStart"/>
      <w:r>
        <w:t>arts</w:t>
      </w:r>
      <w:proofErr w:type="gramEnd"/>
      <w:r>
        <w:t xml:space="preserve"> and music, which contribute to attracting visitors. </w:t>
      </w:r>
    </w:p>
    <w:p w14:paraId="5D140906" w14:textId="4DC2466B" w:rsidR="00F9423F" w:rsidRDefault="00F9423F" w:rsidP="00F9423F">
      <w:r>
        <w:t>Most measures are ongoing and will continue to evolve to meet the challenges and opportunities of the market as it moves from recovery to consolidation.</w:t>
      </w:r>
    </w:p>
    <w:p w14:paraId="0A1603AC" w14:textId="56AC62FE" w:rsidR="00F9423F" w:rsidRDefault="00F9423F" w:rsidP="00F9423F">
      <w:pPr>
        <w:pStyle w:val="Heading3"/>
      </w:pPr>
      <w:r>
        <w:t>Action 6.1</w:t>
      </w:r>
    </w:p>
    <w:p w14:paraId="3DB19E60" w14:textId="77777777" w:rsidR="00446C9C" w:rsidRDefault="00415AAF" w:rsidP="00365AF7">
      <w:r>
        <w:t xml:space="preserve">Action item: </w:t>
      </w:r>
    </w:p>
    <w:p w14:paraId="46127087" w14:textId="1ED71E49" w:rsidR="00365AF7" w:rsidRDefault="00446C9C" w:rsidP="00980F87">
      <w:pPr>
        <w:pStyle w:val="NumberedList"/>
        <w:numPr>
          <w:ilvl w:val="0"/>
          <w:numId w:val="22"/>
        </w:numPr>
      </w:pPr>
      <w:r w:rsidRPr="00446C9C">
        <w:t>Implement health measures to protect visitors and communities and which will provide traveller confidence and community protection.</w:t>
      </w:r>
    </w:p>
    <w:p w14:paraId="37B87088" w14:textId="60F10BD0" w:rsidR="00980F87" w:rsidRDefault="00BE34AA" w:rsidP="00980F87">
      <w:pPr>
        <w:pStyle w:val="NumberedList"/>
        <w:numPr>
          <w:ilvl w:val="0"/>
          <w:numId w:val="22"/>
        </w:numPr>
      </w:pPr>
      <w:r w:rsidRPr="00BE34AA">
        <w:t xml:space="preserve">Implement health and safety measures to provide visitors, </w:t>
      </w:r>
      <w:proofErr w:type="gramStart"/>
      <w:r w:rsidRPr="00BE34AA">
        <w:t>workers</w:t>
      </w:r>
      <w:proofErr w:type="gramEnd"/>
      <w:r w:rsidRPr="00BE34AA">
        <w:t xml:space="preserve"> and the community with a safe environment and to provide consumers with the confidence to travel.</w:t>
      </w:r>
    </w:p>
    <w:p w14:paraId="59F4D5CC" w14:textId="61A91D47" w:rsidR="00415AAF" w:rsidRDefault="00415AAF" w:rsidP="00365AF7">
      <w:r>
        <w:t xml:space="preserve">Action </w:t>
      </w:r>
      <w:proofErr w:type="gramStart"/>
      <w:r>
        <w:t>lead</w:t>
      </w:r>
      <w:proofErr w:type="gramEnd"/>
      <w:r>
        <w:t xml:space="preserve"> (Partners)</w:t>
      </w:r>
      <w:r w:rsidR="009A08F2">
        <w:t xml:space="preserve">: </w:t>
      </w:r>
      <w:r w:rsidR="002D30AA" w:rsidRPr="004254E4">
        <w:t>DoH, S&amp;TG, VE industry</w:t>
      </w:r>
    </w:p>
    <w:p w14:paraId="738D33D7" w14:textId="0BA887C7" w:rsidR="00415AAF" w:rsidRPr="00365AF7" w:rsidRDefault="002D30AA" w:rsidP="00365AF7">
      <w:r>
        <w:t xml:space="preserve">Status: </w:t>
      </w:r>
      <w:r w:rsidRPr="00F9423F">
        <w:t>Underway</w:t>
      </w:r>
    </w:p>
    <w:p w14:paraId="7CF347B3" w14:textId="17125353" w:rsidR="00F9423F" w:rsidRDefault="00F9423F" w:rsidP="00F9423F">
      <w:pPr>
        <w:pStyle w:val="Heading3"/>
      </w:pPr>
      <w:r>
        <w:t>Action 6.</w:t>
      </w:r>
      <w:r w:rsidR="002D30AA">
        <w:t>2</w:t>
      </w:r>
    </w:p>
    <w:p w14:paraId="3BCBD60F" w14:textId="77777777" w:rsidR="006C763A" w:rsidRDefault="002D30AA" w:rsidP="006C763A">
      <w:r>
        <w:t xml:space="preserve">Action item: </w:t>
      </w:r>
      <w:r w:rsidR="006C763A">
        <w:t xml:space="preserve">Encourage Australians to spend on the domestic visitor economy as they would overseas, including through targeted offerings and marketing. </w:t>
      </w:r>
    </w:p>
    <w:p w14:paraId="15DFCCCD" w14:textId="77777777" w:rsidR="006C763A" w:rsidRDefault="006C763A" w:rsidP="006C763A">
      <w:r>
        <w:t xml:space="preserve">Apply behavioural economic research to develop product and marketing approaches to attract greater domestic visitation and spend. </w:t>
      </w:r>
    </w:p>
    <w:p w14:paraId="45C095A9" w14:textId="77777777" w:rsidR="006C763A" w:rsidRDefault="006C763A" w:rsidP="006C763A">
      <w:r>
        <w:t xml:space="preserve">Attract domestic and international visitors to Australia’s regional events and heritage offerings noting that potential funding mechanisms already exist such as the Regional Arts Fund, Festivals </w:t>
      </w:r>
      <w:proofErr w:type="gramStart"/>
      <w:r>
        <w:t>Australia</w:t>
      </w:r>
      <w:proofErr w:type="gramEnd"/>
      <w:r>
        <w:t xml:space="preserve"> and the Indigenous Visual Arts Industry Support Program. </w:t>
      </w:r>
    </w:p>
    <w:p w14:paraId="42B236AD" w14:textId="083A4F49" w:rsidR="002D30AA" w:rsidRDefault="006C763A" w:rsidP="006C763A">
      <w:r>
        <w:t>Targeted offerings and marketing to visitors should include disclosure about the impact of purchasing First Nations ‘style’ arts and crafts (or inauthentic First Nations arts and crafts), as these products have no connection with and provide no economic benefit to First Nations peoples.</w:t>
      </w:r>
    </w:p>
    <w:p w14:paraId="3E285DBD" w14:textId="19E42C83" w:rsidR="002D30AA" w:rsidRDefault="002D30AA" w:rsidP="002D30AA">
      <w:r>
        <w:t xml:space="preserve">Action </w:t>
      </w:r>
      <w:proofErr w:type="gramStart"/>
      <w:r>
        <w:t>lead</w:t>
      </w:r>
      <w:proofErr w:type="gramEnd"/>
      <w:r>
        <w:t xml:space="preserve"> (Partners): </w:t>
      </w:r>
      <w:r w:rsidR="009E4773" w:rsidRPr="004254E4">
        <w:t>Austrade, DITRDCA, TA, S&amp;TG, VE industry</w:t>
      </w:r>
    </w:p>
    <w:p w14:paraId="2E98570F" w14:textId="172F4F38" w:rsidR="002D30AA" w:rsidRPr="002D30AA" w:rsidRDefault="002D30AA" w:rsidP="002D30AA">
      <w:r>
        <w:lastRenderedPageBreak/>
        <w:t xml:space="preserve">Status: </w:t>
      </w:r>
      <w:r w:rsidR="008D05AC" w:rsidRPr="008D05AC">
        <w:t>Underway</w:t>
      </w:r>
    </w:p>
    <w:p w14:paraId="690C1479" w14:textId="3B9F33C9" w:rsidR="00F9423F" w:rsidRDefault="00F9423F" w:rsidP="00F9423F">
      <w:pPr>
        <w:pStyle w:val="Heading3"/>
      </w:pPr>
      <w:r>
        <w:t>Action 6.3</w:t>
      </w:r>
    </w:p>
    <w:p w14:paraId="5DCACA80" w14:textId="77777777" w:rsidR="002D30AA" w:rsidRDefault="002D30AA" w:rsidP="002D30AA">
      <w:r>
        <w:t xml:space="preserve">Action item: </w:t>
      </w:r>
    </w:p>
    <w:p w14:paraId="0770E9A5" w14:textId="79D36C80" w:rsidR="009C2516" w:rsidRDefault="009C2516" w:rsidP="009C2516">
      <w:pPr>
        <w:pStyle w:val="NumberedList"/>
        <w:numPr>
          <w:ilvl w:val="0"/>
          <w:numId w:val="23"/>
        </w:numPr>
      </w:pPr>
      <w:r w:rsidRPr="004254E4">
        <w:t>Develop an International Diversification Strategy for the visitor economy to identify emerging markets for travel and education; and strengthen key bilateral relationships in the Indo-Pacific region and beyond through the growth of people-to-people links and Brand Australia marketing.</w:t>
      </w:r>
    </w:p>
    <w:p w14:paraId="52D148B8" w14:textId="7097919C" w:rsidR="009C2516" w:rsidRDefault="00953D03" w:rsidP="009C2516">
      <w:pPr>
        <w:pStyle w:val="NumberedList"/>
        <w:numPr>
          <w:ilvl w:val="0"/>
          <w:numId w:val="23"/>
        </w:numPr>
      </w:pPr>
      <w:r w:rsidRPr="004254E4">
        <w:t xml:space="preserve">The diversification strategy will also look at attraction of certain growing (and higher yield) traveller cohorts including people seeking luxury, </w:t>
      </w:r>
      <w:proofErr w:type="gramStart"/>
      <w:r w:rsidRPr="004254E4">
        <w:t>nature</w:t>
      </w:r>
      <w:proofErr w:type="gramEnd"/>
      <w:r w:rsidRPr="004254E4">
        <w:t xml:space="preserve"> and cultural experiences.</w:t>
      </w:r>
    </w:p>
    <w:p w14:paraId="47C767F1" w14:textId="739BFC32" w:rsidR="002D30AA" w:rsidRDefault="002D30AA" w:rsidP="002D30AA">
      <w:r>
        <w:t xml:space="preserve">Action </w:t>
      </w:r>
      <w:proofErr w:type="gramStart"/>
      <w:r>
        <w:t>lead</w:t>
      </w:r>
      <w:proofErr w:type="gramEnd"/>
      <w:r>
        <w:t xml:space="preserve"> (Partners): </w:t>
      </w:r>
      <w:r w:rsidR="00B029B2" w:rsidRPr="00B029B2">
        <w:t>Austrade, TA (S&amp;TG)</w:t>
      </w:r>
    </w:p>
    <w:p w14:paraId="3BAFAE9E" w14:textId="2A1FC781" w:rsidR="002D30AA" w:rsidRPr="002D30AA" w:rsidRDefault="002D30AA" w:rsidP="002D30AA">
      <w:r>
        <w:t xml:space="preserve">Status: </w:t>
      </w:r>
      <w:r w:rsidR="00852410" w:rsidRPr="00852410">
        <w:t>Underway</w:t>
      </w:r>
    </w:p>
    <w:p w14:paraId="409628B7" w14:textId="3B65BADF" w:rsidR="00F9423F" w:rsidRDefault="00F9423F" w:rsidP="00F9423F">
      <w:pPr>
        <w:pStyle w:val="Heading3"/>
      </w:pPr>
      <w:r>
        <w:t>Action 6.4</w:t>
      </w:r>
    </w:p>
    <w:p w14:paraId="0DFC1F84" w14:textId="10024B28" w:rsidR="002D30AA" w:rsidRDefault="002D30AA" w:rsidP="002D30AA">
      <w:r>
        <w:t xml:space="preserve">Action item: </w:t>
      </w:r>
      <w:r w:rsidR="008A5356" w:rsidRPr="008A5356">
        <w:t>Implement a coordinated marketing strategy to re-establish core markets and grow emerging international markets.</w:t>
      </w:r>
    </w:p>
    <w:p w14:paraId="1C51C759" w14:textId="7350CEB9" w:rsidR="002D30AA" w:rsidRDefault="002D30AA" w:rsidP="002D30AA">
      <w:r>
        <w:t xml:space="preserve">Action </w:t>
      </w:r>
      <w:proofErr w:type="gramStart"/>
      <w:r>
        <w:t>lead</w:t>
      </w:r>
      <w:proofErr w:type="gramEnd"/>
      <w:r>
        <w:t xml:space="preserve"> (Partners): </w:t>
      </w:r>
      <w:r w:rsidR="00F0655E" w:rsidRPr="00F0655E">
        <w:t>TA, S&amp;TG</w:t>
      </w:r>
    </w:p>
    <w:p w14:paraId="5FA9BE73" w14:textId="501A8777" w:rsidR="002D30AA" w:rsidRPr="002D30AA" w:rsidRDefault="002D30AA" w:rsidP="002D30AA">
      <w:r>
        <w:t xml:space="preserve">Status: </w:t>
      </w:r>
      <w:r w:rsidR="0058499A">
        <w:t>Complete</w:t>
      </w:r>
    </w:p>
    <w:p w14:paraId="5A3FD225" w14:textId="21B207BC" w:rsidR="00F9423F" w:rsidRDefault="00F9423F" w:rsidP="00F9423F">
      <w:pPr>
        <w:pStyle w:val="Heading3"/>
      </w:pPr>
      <w:r>
        <w:t>Action 6.5</w:t>
      </w:r>
    </w:p>
    <w:p w14:paraId="3C22A18D" w14:textId="29540AA3" w:rsidR="002D30AA" w:rsidRDefault="002D30AA" w:rsidP="002D30AA">
      <w:r>
        <w:t xml:space="preserve">Action item: </w:t>
      </w:r>
      <w:r w:rsidR="00D8599A" w:rsidRPr="00D8599A">
        <w:t>Develop and implement a coordinated approach for direct, affordable, long-haul flights to Australia.</w:t>
      </w:r>
    </w:p>
    <w:p w14:paraId="179C7BA9" w14:textId="0E17D269" w:rsidR="002D30AA" w:rsidRDefault="002D30AA" w:rsidP="002D30AA">
      <w:r>
        <w:t xml:space="preserve">Action </w:t>
      </w:r>
      <w:proofErr w:type="gramStart"/>
      <w:r>
        <w:t>lead</w:t>
      </w:r>
      <w:proofErr w:type="gramEnd"/>
      <w:r>
        <w:t xml:space="preserve"> (Partners): </w:t>
      </w:r>
      <w:r w:rsidR="009406E7" w:rsidRPr="009406E7">
        <w:t>VE industry</w:t>
      </w:r>
    </w:p>
    <w:p w14:paraId="10EF01BE" w14:textId="51E32630" w:rsidR="002D30AA" w:rsidRPr="002D30AA" w:rsidRDefault="002D30AA" w:rsidP="002D30AA">
      <w:r>
        <w:t xml:space="preserve">Status: </w:t>
      </w:r>
      <w:r w:rsidR="00953F02" w:rsidRPr="00953F02">
        <w:t>Pending</w:t>
      </w:r>
    </w:p>
    <w:p w14:paraId="29D03FEB" w14:textId="335E41C0" w:rsidR="00F9423F" w:rsidRDefault="00F9423F" w:rsidP="00F9423F">
      <w:pPr>
        <w:pStyle w:val="Heading3"/>
      </w:pPr>
      <w:r>
        <w:t>Action 6.6</w:t>
      </w:r>
    </w:p>
    <w:p w14:paraId="111A2729" w14:textId="525F0FC2" w:rsidR="002D30AA" w:rsidRDefault="002D30AA" w:rsidP="002D30AA">
      <w:r>
        <w:t xml:space="preserve">Action item: </w:t>
      </w:r>
      <w:r w:rsidR="00A938FE" w:rsidRPr="00A938FE">
        <w:t>Ensure Australia has a safe, affordable, and competitive visitor visa system to maintain and grow market share.</w:t>
      </w:r>
    </w:p>
    <w:p w14:paraId="335CFFED" w14:textId="218DF5A7" w:rsidR="002D30AA" w:rsidRDefault="002D30AA" w:rsidP="002D30AA">
      <w:r>
        <w:t xml:space="preserve">Action </w:t>
      </w:r>
      <w:proofErr w:type="gramStart"/>
      <w:r>
        <w:t>lead</w:t>
      </w:r>
      <w:proofErr w:type="gramEnd"/>
      <w:r>
        <w:t xml:space="preserve"> (Partners): </w:t>
      </w:r>
      <w:r w:rsidR="00E47C72" w:rsidRPr="00E47C72">
        <w:t>Home Affairs</w:t>
      </w:r>
    </w:p>
    <w:p w14:paraId="54FD3654" w14:textId="782AC159" w:rsidR="002D30AA" w:rsidRPr="002D30AA" w:rsidRDefault="002D30AA" w:rsidP="002D30AA">
      <w:r>
        <w:t xml:space="preserve">Status: </w:t>
      </w:r>
      <w:r w:rsidR="00260131" w:rsidRPr="00260131">
        <w:t>Underway</w:t>
      </w:r>
    </w:p>
    <w:p w14:paraId="0F367BCD" w14:textId="499690FC" w:rsidR="002D30AA" w:rsidRDefault="00F9423F" w:rsidP="002D30AA">
      <w:pPr>
        <w:pStyle w:val="Heading3"/>
      </w:pPr>
      <w:r>
        <w:t>Action 6.7</w:t>
      </w:r>
    </w:p>
    <w:p w14:paraId="56806422" w14:textId="77777777" w:rsidR="002D30AA" w:rsidRDefault="002D30AA" w:rsidP="002D30AA">
      <w:r>
        <w:t xml:space="preserve">Action item: </w:t>
      </w:r>
    </w:p>
    <w:p w14:paraId="27722570" w14:textId="411CEF5E" w:rsidR="000C50BC" w:rsidRDefault="000C50BC" w:rsidP="00403086">
      <w:pPr>
        <w:pStyle w:val="NumberedList"/>
        <w:numPr>
          <w:ilvl w:val="0"/>
          <w:numId w:val="24"/>
        </w:numPr>
      </w:pPr>
      <w:r w:rsidRPr="004254E4">
        <w:lastRenderedPageBreak/>
        <w:t>Continue to support Australia’s international education sector to attract students from diverse markets, grow offshore and online delivery and help meet Australia’s future workforce needs, including through competitive policy and visa settings. The review of Australia’s migration system will help inform the next steps to supporting the international education sector.</w:t>
      </w:r>
    </w:p>
    <w:p w14:paraId="556737BD" w14:textId="3E4CB10E" w:rsidR="000C50BC" w:rsidRDefault="00403086" w:rsidP="000C50BC">
      <w:pPr>
        <w:pStyle w:val="NumberedList"/>
      </w:pPr>
      <w:r>
        <w:t>Support diversification of international student cohorts, including by identifying new and emerging markets.</w:t>
      </w:r>
    </w:p>
    <w:p w14:paraId="7B61A2FD" w14:textId="65F7AF65" w:rsidR="00B304F4" w:rsidRDefault="00B304F4" w:rsidP="000C50BC">
      <w:pPr>
        <w:pStyle w:val="NumberedList"/>
      </w:pPr>
      <w:r>
        <w:t>Increase the duration of post-study work rights for certain international students eligible for a Temporary Graduate (subclass 485) visa, in select fields of study.</w:t>
      </w:r>
    </w:p>
    <w:p w14:paraId="168E5507" w14:textId="1EAA4676" w:rsidR="002D30AA" w:rsidRDefault="002D30AA" w:rsidP="002D30AA">
      <w:r>
        <w:t xml:space="preserve">Action </w:t>
      </w:r>
      <w:proofErr w:type="gramStart"/>
      <w:r>
        <w:t>lead</w:t>
      </w:r>
      <w:proofErr w:type="gramEnd"/>
      <w:r>
        <w:t xml:space="preserve"> (Partners): </w:t>
      </w:r>
      <w:r w:rsidR="000F0CFB">
        <w:t>DoE</w:t>
      </w:r>
      <w:r w:rsidR="005C61A4" w:rsidRPr="005C61A4">
        <w:t>, Home Affairs, Austrade</w:t>
      </w:r>
    </w:p>
    <w:p w14:paraId="2C2D075E" w14:textId="7FE35840" w:rsidR="002D30AA" w:rsidRPr="002D30AA" w:rsidRDefault="002D30AA" w:rsidP="002D30AA">
      <w:r>
        <w:t xml:space="preserve">Status: </w:t>
      </w:r>
      <w:r w:rsidR="00BD4A72" w:rsidRPr="00BD4A72">
        <w:t>Underway</w:t>
      </w:r>
    </w:p>
    <w:p w14:paraId="38BDA6B3" w14:textId="51E6BDD1" w:rsidR="00F9423F" w:rsidRDefault="00F9423F" w:rsidP="00F9423F">
      <w:pPr>
        <w:pStyle w:val="Heading3"/>
      </w:pPr>
      <w:r>
        <w:t>Action 6.8</w:t>
      </w:r>
    </w:p>
    <w:p w14:paraId="65B2F73C" w14:textId="77777777" w:rsidR="002D30AA" w:rsidRDefault="002D30AA" w:rsidP="002D30AA">
      <w:r>
        <w:t xml:space="preserve">Action item: </w:t>
      </w:r>
    </w:p>
    <w:p w14:paraId="77BC2B1B" w14:textId="0503534C" w:rsidR="00AB5BD3" w:rsidRDefault="00916110" w:rsidP="00AB5BD3">
      <w:pPr>
        <w:pStyle w:val="NumberedList"/>
        <w:numPr>
          <w:ilvl w:val="0"/>
          <w:numId w:val="25"/>
        </w:numPr>
      </w:pPr>
      <w:r w:rsidRPr="00916110">
        <w:t xml:space="preserve">Help tourism businesses to get back into the international market and attract more international visitors to Australia. Develop and implement innovative marketing approaches including partnership marketing, extending reach of marketing and conversion, greater </w:t>
      </w:r>
      <w:proofErr w:type="gramStart"/>
      <w:r w:rsidRPr="00916110">
        <w:t>personalisation</w:t>
      </w:r>
      <w:proofErr w:type="gramEnd"/>
      <w:r w:rsidRPr="00916110">
        <w:t xml:space="preserve"> and effective trade marketing.</w:t>
      </w:r>
    </w:p>
    <w:p w14:paraId="7B32E774" w14:textId="6B76A2D5" w:rsidR="00AB5BD3" w:rsidRDefault="00AB5BD3" w:rsidP="00AB5BD3">
      <w:r>
        <w:t xml:space="preserve">Action </w:t>
      </w:r>
      <w:proofErr w:type="gramStart"/>
      <w:r>
        <w:t>lead</w:t>
      </w:r>
      <w:proofErr w:type="gramEnd"/>
      <w:r>
        <w:t xml:space="preserve"> (Partners): TA, S&amp;TG, VE industry</w:t>
      </w:r>
    </w:p>
    <w:p w14:paraId="7A27DCAD" w14:textId="41B68AF2" w:rsidR="00916110" w:rsidRDefault="003A1957" w:rsidP="00916110">
      <w:pPr>
        <w:pStyle w:val="NumberedList"/>
      </w:pPr>
      <w:r>
        <w:t>Drive growth in international visitation to Tropical North Queensland and the Great Barrier Reef region.</w:t>
      </w:r>
    </w:p>
    <w:p w14:paraId="3B85700F" w14:textId="0928D282" w:rsidR="00AB5BD3" w:rsidRDefault="00AB5BD3" w:rsidP="00AB5BD3">
      <w:r>
        <w:t xml:space="preserve">Action </w:t>
      </w:r>
      <w:proofErr w:type="gramStart"/>
      <w:r>
        <w:t>lead</w:t>
      </w:r>
      <w:proofErr w:type="gramEnd"/>
      <w:r>
        <w:t xml:space="preserve"> (Partners): </w:t>
      </w:r>
      <w:r w:rsidRPr="004B1777">
        <w:t>Tourism Tropical North Queensland</w:t>
      </w:r>
    </w:p>
    <w:p w14:paraId="6E27E4ED" w14:textId="6B0A6E87" w:rsidR="00002CE1" w:rsidRDefault="00002CE1" w:rsidP="00916110">
      <w:pPr>
        <w:pStyle w:val="NumberedList"/>
      </w:pPr>
      <w:r>
        <w:t>Support tourism businesses through the Accommodation Association of Australia’s ‘The Hub’ to attract and upskill workers and the Australian Tourism Export Council’s Tourism Training Hub.</w:t>
      </w:r>
    </w:p>
    <w:p w14:paraId="1DC397BC" w14:textId="6EAF7C55" w:rsidR="002D30AA" w:rsidRDefault="002D30AA" w:rsidP="002D30AA">
      <w:r>
        <w:t xml:space="preserve">Action </w:t>
      </w:r>
      <w:proofErr w:type="gramStart"/>
      <w:r>
        <w:t>lead</w:t>
      </w:r>
      <w:proofErr w:type="gramEnd"/>
      <w:r>
        <w:t xml:space="preserve"> (Partners):</w:t>
      </w:r>
      <w:r w:rsidR="00AB5BD3">
        <w:t xml:space="preserve"> </w:t>
      </w:r>
      <w:r w:rsidR="006F4040" w:rsidRPr="004B1777">
        <w:t>Australian Tourism Export Council, AAoA</w:t>
      </w:r>
    </w:p>
    <w:p w14:paraId="76CB0605" w14:textId="72BE252A" w:rsidR="002D30AA" w:rsidRPr="002D30AA" w:rsidRDefault="002D30AA" w:rsidP="002D30AA">
      <w:r>
        <w:t xml:space="preserve">Status: </w:t>
      </w:r>
      <w:r w:rsidR="00B872C3" w:rsidRPr="007C1DD6">
        <w:rPr>
          <w:noProof/>
        </w:rPr>
        <w:t>Underway</w:t>
      </w:r>
    </w:p>
    <w:p w14:paraId="0B5CCC41" w14:textId="77257796" w:rsidR="00F9423F" w:rsidRDefault="00F9423F" w:rsidP="00F9423F">
      <w:pPr>
        <w:pStyle w:val="Heading3"/>
      </w:pPr>
      <w:r>
        <w:t>Action 6.9</w:t>
      </w:r>
    </w:p>
    <w:p w14:paraId="3F0F1343" w14:textId="7E38AA3B" w:rsidR="002D30AA" w:rsidRDefault="002D30AA" w:rsidP="002D30AA">
      <w:r>
        <w:t xml:space="preserve">Action item: </w:t>
      </w:r>
      <w:r w:rsidR="001551F3" w:rsidRPr="001551F3">
        <w:t xml:space="preserve">Improve promotion, </w:t>
      </w:r>
      <w:proofErr w:type="gramStart"/>
      <w:r w:rsidR="001551F3" w:rsidRPr="001551F3">
        <w:t>marketing</w:t>
      </w:r>
      <w:proofErr w:type="gramEnd"/>
      <w:r w:rsidR="001551F3" w:rsidRPr="001551F3">
        <w:t xml:space="preserve"> and provision of information about accessible infrastructure available at destinations, accommodation, venues and experiences and business sustainability practices.</w:t>
      </w:r>
    </w:p>
    <w:p w14:paraId="4062B467" w14:textId="22FE516A" w:rsidR="002D30AA" w:rsidRDefault="002D30AA" w:rsidP="002D30AA">
      <w:r>
        <w:t xml:space="preserve">Action </w:t>
      </w:r>
      <w:proofErr w:type="gramStart"/>
      <w:r>
        <w:t>lead</w:t>
      </w:r>
      <w:proofErr w:type="gramEnd"/>
      <w:r>
        <w:t xml:space="preserve"> (Partners): </w:t>
      </w:r>
      <w:r w:rsidR="00E20223" w:rsidRPr="004254E4">
        <w:t>VE industry</w:t>
      </w:r>
    </w:p>
    <w:p w14:paraId="14ACAA54" w14:textId="12E8B697" w:rsidR="002D30AA" w:rsidRDefault="002D30AA" w:rsidP="002D30AA">
      <w:r>
        <w:t xml:space="preserve">Status: </w:t>
      </w:r>
      <w:r w:rsidR="00AD5D8E" w:rsidRPr="00AD5D8E">
        <w:t>Underway</w:t>
      </w:r>
    </w:p>
    <w:p w14:paraId="41BDB016" w14:textId="25192591" w:rsidR="008F4113" w:rsidRDefault="008F4113">
      <w:pPr>
        <w:spacing w:before="0" w:after="160" w:line="259" w:lineRule="auto"/>
      </w:pPr>
      <w:r>
        <w:br w:type="page"/>
      </w:r>
    </w:p>
    <w:p w14:paraId="6452CF26" w14:textId="77777777" w:rsidR="008F4113" w:rsidRPr="008F4113" w:rsidRDefault="008F4113" w:rsidP="008F4113">
      <w:pPr>
        <w:pStyle w:val="Heading2"/>
        <w:rPr>
          <w:highlight w:val="cyan"/>
        </w:rPr>
      </w:pPr>
      <w:r w:rsidRPr="008F4113">
        <w:lastRenderedPageBreak/>
        <w:t xml:space="preserve">Priority 7: Grow unique and high-quality products, including First Nation </w:t>
      </w:r>
      <w:proofErr w:type="gramStart"/>
      <w:r w:rsidRPr="008F4113">
        <w:t>experiences</w:t>
      </w:r>
      <w:proofErr w:type="gramEnd"/>
    </w:p>
    <w:p w14:paraId="57E1DB57" w14:textId="77777777" w:rsidR="008F4113" w:rsidRPr="00D12910" w:rsidRDefault="008F4113" w:rsidP="00E13D00">
      <w:r w:rsidRPr="00D12910">
        <w:t xml:space="preserve">THRIVE 2030 has a strong focus on </w:t>
      </w:r>
      <w:r>
        <w:t>growing unique and high-quality products, as well as increasing</w:t>
      </w:r>
      <w:r w:rsidRPr="00D12910">
        <w:t xml:space="preserve"> the participation and success of First Nations businesses across the visitor economy. </w:t>
      </w:r>
      <w:r>
        <w:t>I</w:t>
      </w:r>
      <w:r w:rsidRPr="00D12910">
        <w:t>ndustry</w:t>
      </w:r>
      <w:r>
        <w:t xml:space="preserve"> and </w:t>
      </w:r>
      <w:r w:rsidRPr="00D12910">
        <w:t xml:space="preserve">Government is working with First Nations organisations and leaders to progress actions in the Strategy. Good progress has been made, including multiple initiatives implemented by </w:t>
      </w:r>
      <w:r>
        <w:t>both the Australian Government</w:t>
      </w:r>
      <w:r w:rsidRPr="00D12910">
        <w:t xml:space="preserve"> S&amp;TGs. </w:t>
      </w:r>
      <w:r>
        <w:t xml:space="preserve">This includes grant funding programs </w:t>
      </w:r>
      <w:r w:rsidDel="00402B7F">
        <w:t>and</w:t>
      </w:r>
      <w:r>
        <w:t xml:space="preserve"> global campaigns that leverage Australia’s Nation Brand.</w:t>
      </w:r>
      <w:r w:rsidRPr="00D12910">
        <w:t xml:space="preserve"> This will be an area for </w:t>
      </w:r>
      <w:r>
        <w:t>continuous</w:t>
      </w:r>
      <w:r w:rsidRPr="00D12910">
        <w:t xml:space="preserve"> improvement and renewal. As such, the actions will remain ‘in progress’ for some time, particularly as work continues to establish an effective First Nations partnership (see Action 1.7)</w:t>
      </w:r>
      <w:r>
        <w:t>.</w:t>
      </w:r>
    </w:p>
    <w:p w14:paraId="0EA88016" w14:textId="77777777" w:rsidR="008F4113" w:rsidRDefault="008F4113" w:rsidP="00E13D00">
      <w:r w:rsidRPr="00D12910">
        <w:t>Other action items in th</w:t>
      </w:r>
      <w:r>
        <w:t>is</w:t>
      </w:r>
      <w:r w:rsidRPr="00D12910">
        <w:t xml:space="preserve"> pillar are also progressing well</w:t>
      </w:r>
      <w:r>
        <w:t>,</w:t>
      </w:r>
      <w:r w:rsidRPr="00D12910">
        <w:t xml:space="preserve"> </w:t>
      </w:r>
      <w:r>
        <w:t>as outlined below.</w:t>
      </w:r>
      <w:r w:rsidRPr="00D12910">
        <w:t xml:space="preserve"> This includes supporting the return of events, </w:t>
      </w:r>
      <w:r>
        <w:t xml:space="preserve">and industry-led initiatives in the agritourism and ecotourism sectors. </w:t>
      </w:r>
    </w:p>
    <w:p w14:paraId="078D1DC5" w14:textId="6759C592" w:rsidR="008F4113" w:rsidRDefault="0014797E" w:rsidP="0014797E">
      <w:pPr>
        <w:pStyle w:val="Heading3"/>
      </w:pPr>
      <w:r>
        <w:t>Action 7.1</w:t>
      </w:r>
    </w:p>
    <w:p w14:paraId="3244E635" w14:textId="35328CDA" w:rsidR="0014797E" w:rsidRDefault="0014797E" w:rsidP="0014797E">
      <w:r>
        <w:t xml:space="preserve">Action item: </w:t>
      </w:r>
      <w:r w:rsidR="00104D90" w:rsidRPr="00104D90">
        <w:t>Expand target market offerings including for high yield/luxury visitors and business travellers.</w:t>
      </w:r>
    </w:p>
    <w:p w14:paraId="471B4388" w14:textId="01814F81" w:rsidR="0014797E" w:rsidRDefault="0014797E" w:rsidP="0014797E">
      <w:r>
        <w:t xml:space="preserve">Action </w:t>
      </w:r>
      <w:proofErr w:type="gramStart"/>
      <w:r>
        <w:t>lead</w:t>
      </w:r>
      <w:proofErr w:type="gramEnd"/>
      <w:r>
        <w:t xml:space="preserve"> (Partners): </w:t>
      </w:r>
      <w:r w:rsidR="00DD5E94" w:rsidRPr="00DD5E94">
        <w:t>VE industry</w:t>
      </w:r>
    </w:p>
    <w:p w14:paraId="09111A4B" w14:textId="5CB736AB" w:rsidR="0014797E" w:rsidRPr="0014797E" w:rsidRDefault="0014797E" w:rsidP="0014797E">
      <w:r>
        <w:t xml:space="preserve">Status: </w:t>
      </w:r>
      <w:r w:rsidR="00E42C80" w:rsidRPr="00E42C80">
        <w:t>Underway</w:t>
      </w:r>
    </w:p>
    <w:p w14:paraId="05E761D2" w14:textId="1FD4EA73" w:rsidR="0014797E" w:rsidRDefault="0014797E" w:rsidP="0014797E">
      <w:pPr>
        <w:pStyle w:val="Heading3"/>
      </w:pPr>
      <w:r>
        <w:t>Action 7.2</w:t>
      </w:r>
    </w:p>
    <w:p w14:paraId="50CC9780" w14:textId="264CB9FA" w:rsidR="00E42C80" w:rsidRDefault="00E42C80" w:rsidP="00E42C80">
      <w:r>
        <w:t xml:space="preserve">Action item: </w:t>
      </w:r>
      <w:r w:rsidR="00E5282B" w:rsidRPr="00E5282B">
        <w:t>Respectfully embed First Nations cultures into the visitor economy and Australia’s brand positioning, supporting prioritised product development.</w:t>
      </w:r>
    </w:p>
    <w:p w14:paraId="4566E5D1" w14:textId="29D4DE03" w:rsidR="00E42C80" w:rsidRDefault="00E42C80" w:rsidP="00E42C80">
      <w:r>
        <w:t xml:space="preserve">Action </w:t>
      </w:r>
      <w:proofErr w:type="gramStart"/>
      <w:r>
        <w:t>lead</w:t>
      </w:r>
      <w:proofErr w:type="gramEnd"/>
      <w:r>
        <w:t xml:space="preserve"> (Partners):</w:t>
      </w:r>
      <w:r w:rsidR="00A171D1" w:rsidRPr="00A171D1">
        <w:t xml:space="preserve"> VE industry (NIAA, Austrade, TA, S&amp;TG)</w:t>
      </w:r>
    </w:p>
    <w:p w14:paraId="21587674" w14:textId="240271B7" w:rsidR="00E42C80" w:rsidRPr="00E42C80" w:rsidRDefault="00E42C80" w:rsidP="00E42C80">
      <w:r>
        <w:t>Status:</w:t>
      </w:r>
      <w:r w:rsidR="00E77EA7" w:rsidRPr="00E77EA7">
        <w:t xml:space="preserve"> </w:t>
      </w:r>
      <w:r w:rsidR="00E77EA7">
        <w:t>Underway</w:t>
      </w:r>
    </w:p>
    <w:p w14:paraId="2B723B62" w14:textId="321A9154" w:rsidR="0014797E" w:rsidRDefault="0014797E" w:rsidP="0014797E">
      <w:pPr>
        <w:pStyle w:val="Heading3"/>
      </w:pPr>
      <w:r>
        <w:t>Action 7.3</w:t>
      </w:r>
    </w:p>
    <w:p w14:paraId="0666AC9F" w14:textId="479ECB97" w:rsidR="007A6F90" w:rsidRDefault="00E42C80" w:rsidP="00E42C80">
      <w:r>
        <w:t xml:space="preserve">Action item: </w:t>
      </w:r>
      <w:r w:rsidR="000A2377" w:rsidRPr="000A2377">
        <w:t>Support return of events, including business, cultural and arts, regional and major events, and implement an annual coordinated calendar of events to encourage new and return visitors, including:</w:t>
      </w:r>
    </w:p>
    <w:p w14:paraId="2956E075" w14:textId="27EA61D7" w:rsidR="000A2377" w:rsidRDefault="00F55D87" w:rsidP="000A2377">
      <w:pPr>
        <w:pStyle w:val="BulletList"/>
      </w:pPr>
      <w:r w:rsidRPr="00F55D87">
        <w:t>Leverage and support the Green and Gold Decade of major sporting events, culminating in the Brisbane 2032 Olympics and Paralympics.</w:t>
      </w:r>
    </w:p>
    <w:p w14:paraId="68D3A171" w14:textId="2D78DC16" w:rsidR="00F55D87" w:rsidRDefault="00471DFC" w:rsidP="000A2377">
      <w:pPr>
        <w:pStyle w:val="BulletList"/>
      </w:pPr>
      <w:r w:rsidRPr="00471DFC">
        <w:lastRenderedPageBreak/>
        <w:t>Governments and industry to collaborate to optimise the impact of the many existing event promotion and support programs including the Business Events Australia Bid Fund Program.</w:t>
      </w:r>
    </w:p>
    <w:p w14:paraId="65D38154" w14:textId="143618CF" w:rsidR="00471DFC" w:rsidRDefault="00962553" w:rsidP="000A2377">
      <w:pPr>
        <w:pStyle w:val="BulletList"/>
      </w:pPr>
      <w:r w:rsidRPr="00962553">
        <w:t xml:space="preserve">Incorporate creative/cultural assets into destination marketing to maximise contribution of the creative economy, including to support the delivery of </w:t>
      </w:r>
      <w:r w:rsidRPr="0078206A">
        <w:rPr>
          <w:i/>
          <w:iCs/>
        </w:rPr>
        <w:t>Revive: a place for every story, a story for every place</w:t>
      </w:r>
      <w:r w:rsidRPr="00962553">
        <w:t>, Australia’s National Cultural Policy.</w:t>
      </w:r>
    </w:p>
    <w:p w14:paraId="2EBD00AF" w14:textId="0C81DD80" w:rsidR="00962553" w:rsidRDefault="0029395B" w:rsidP="000A2377">
      <w:pPr>
        <w:pStyle w:val="BulletList"/>
      </w:pPr>
      <w:r w:rsidRPr="0029395B">
        <w:t>Establish new mass participation events including in regional areas to encourage visitor dispersal, noting that potential funding mechanisms already exist such as the Australia Council for the Arts’ Major Festivals initiative fund for 7 major international arts festivals, supporting regional festivals through the Festivals Australia program and supporting regional collecting institutions through programs such as Visions of Australia, the National Collecting Institutions Touring and Outreach Program, the Australian Government International Exhibitions Insurance Program, and the National Cultural Heritage Account.</w:t>
      </w:r>
    </w:p>
    <w:p w14:paraId="1E906069" w14:textId="125E152E" w:rsidR="00E42C80" w:rsidRDefault="00E42C80" w:rsidP="00E42C80">
      <w:r>
        <w:t xml:space="preserve">Action </w:t>
      </w:r>
      <w:proofErr w:type="gramStart"/>
      <w:r>
        <w:t>lead</w:t>
      </w:r>
      <w:proofErr w:type="gramEnd"/>
      <w:r>
        <w:t xml:space="preserve"> (Partners):</w:t>
      </w:r>
      <w:r w:rsidR="003B28C0" w:rsidRPr="003B28C0">
        <w:t xml:space="preserve"> </w:t>
      </w:r>
      <w:r w:rsidR="003B28C0" w:rsidRPr="004254E4">
        <w:t>VE industry, DoH, DITRDCA, NIAA, Australia Council for the Arts (TA, S&amp;TG, LG)</w:t>
      </w:r>
    </w:p>
    <w:p w14:paraId="015E722A" w14:textId="5AB34FAE" w:rsidR="00E42C80" w:rsidRPr="00E42C80" w:rsidRDefault="00E42C80" w:rsidP="00E42C80">
      <w:r>
        <w:t>Status:</w:t>
      </w:r>
      <w:r w:rsidR="00121209" w:rsidRPr="00121209">
        <w:t xml:space="preserve"> </w:t>
      </w:r>
      <w:r w:rsidR="00121209" w:rsidRPr="00B91E6B">
        <w:t>Underway</w:t>
      </w:r>
    </w:p>
    <w:p w14:paraId="5D2BBA5E" w14:textId="4BDB3EAC" w:rsidR="0014797E" w:rsidRDefault="0014797E" w:rsidP="0014797E">
      <w:pPr>
        <w:pStyle w:val="Heading3"/>
      </w:pPr>
      <w:r>
        <w:t>Action 7.4</w:t>
      </w:r>
    </w:p>
    <w:p w14:paraId="3C8DE0E5" w14:textId="7BAAD356" w:rsidR="00E42C80" w:rsidRDefault="00E42C80" w:rsidP="00E42C80">
      <w:r>
        <w:t xml:space="preserve">Action item: </w:t>
      </w:r>
      <w:r w:rsidR="005006AB" w:rsidRPr="005006AB">
        <w:t>Cities develop and offer a compelling differentiated offering for both the domestic and international markets to revitalise visitation.</w:t>
      </w:r>
    </w:p>
    <w:p w14:paraId="29F97A79" w14:textId="217728EB" w:rsidR="00E42C80" w:rsidRDefault="00E42C80" w:rsidP="00E42C80">
      <w:r>
        <w:t xml:space="preserve">Action </w:t>
      </w:r>
      <w:proofErr w:type="gramStart"/>
      <w:r>
        <w:t>lead</w:t>
      </w:r>
      <w:proofErr w:type="gramEnd"/>
      <w:r>
        <w:t xml:space="preserve"> (Partners):</w:t>
      </w:r>
      <w:r w:rsidR="00FB2A95" w:rsidRPr="00FB2A95">
        <w:t xml:space="preserve"> S&amp;TG, LG</w:t>
      </w:r>
    </w:p>
    <w:p w14:paraId="4E876DD8" w14:textId="16FD4DA3" w:rsidR="00E42C80" w:rsidRPr="00E42C80" w:rsidRDefault="00E42C80" w:rsidP="00E42C80">
      <w:r>
        <w:t>Status:</w:t>
      </w:r>
      <w:r w:rsidR="00421AA2" w:rsidRPr="00421AA2">
        <w:t xml:space="preserve"> Underway</w:t>
      </w:r>
    </w:p>
    <w:p w14:paraId="63A55A7C" w14:textId="2C008BEA" w:rsidR="0014797E" w:rsidRDefault="0014797E" w:rsidP="0014797E">
      <w:pPr>
        <w:pStyle w:val="Heading3"/>
      </w:pPr>
      <w:r>
        <w:t>Action 7.5</w:t>
      </w:r>
    </w:p>
    <w:p w14:paraId="046285C6" w14:textId="77777777" w:rsidR="00E42C80" w:rsidRDefault="00E42C80" w:rsidP="00E42C80">
      <w:r>
        <w:t xml:space="preserve">Action item: </w:t>
      </w:r>
    </w:p>
    <w:p w14:paraId="5EF86047" w14:textId="1517A7A8" w:rsidR="000124FE" w:rsidRDefault="000124FE" w:rsidP="000124FE">
      <w:pPr>
        <w:pStyle w:val="NumberedList"/>
        <w:numPr>
          <w:ilvl w:val="0"/>
          <w:numId w:val="26"/>
        </w:numPr>
      </w:pPr>
      <w:r w:rsidRPr="000124FE">
        <w:t xml:space="preserve">Grow and develop high-quality products and experiences around unique Australian locations and themes, including approaches which integrate sustainable nature tourism with economic opportunities in collaboration with Traditional Owners, and capitalising on emerging tourism trends such as geotourism.  </w:t>
      </w:r>
    </w:p>
    <w:p w14:paraId="3C401AC9" w14:textId="181B32F4" w:rsidR="00F34B6D" w:rsidRDefault="00F34B6D" w:rsidP="00F34B6D">
      <w:r>
        <w:t xml:space="preserve">Action </w:t>
      </w:r>
      <w:proofErr w:type="gramStart"/>
      <w:r>
        <w:t>lead</w:t>
      </w:r>
      <w:proofErr w:type="gramEnd"/>
      <w:r>
        <w:t xml:space="preserve"> (Partners):</w:t>
      </w:r>
      <w:r w:rsidRPr="00F34B6D">
        <w:t xml:space="preserve"> </w:t>
      </w:r>
      <w:r w:rsidRPr="004254E4">
        <w:t>VE industry</w:t>
      </w:r>
    </w:p>
    <w:p w14:paraId="1FC983A0" w14:textId="685E968F" w:rsidR="000124FE" w:rsidRDefault="00941778" w:rsidP="000124FE">
      <w:pPr>
        <w:pStyle w:val="NumberedList"/>
        <w:numPr>
          <w:ilvl w:val="0"/>
          <w:numId w:val="26"/>
        </w:numPr>
      </w:pPr>
      <w:r w:rsidRPr="00941778">
        <w:t>Leverage the $10 million annual Wine Tourism and Cellar Door Grants Program to boost wine tourism and attract visitors to wine regions.</w:t>
      </w:r>
    </w:p>
    <w:p w14:paraId="63C3ED86" w14:textId="141DF4FB" w:rsidR="00463AD2" w:rsidRDefault="00463AD2" w:rsidP="00463AD2">
      <w:r>
        <w:t xml:space="preserve">Action </w:t>
      </w:r>
      <w:proofErr w:type="gramStart"/>
      <w:r>
        <w:t>lead</w:t>
      </w:r>
      <w:proofErr w:type="gramEnd"/>
      <w:r>
        <w:t xml:space="preserve"> (Partners):</w:t>
      </w:r>
      <w:r w:rsidRPr="00F34B6D">
        <w:t xml:space="preserve"> </w:t>
      </w:r>
      <w:r>
        <w:t>DAFF</w:t>
      </w:r>
    </w:p>
    <w:p w14:paraId="72BEE92A" w14:textId="5A225907" w:rsidR="00CE3895" w:rsidRDefault="00CE3895" w:rsidP="000124FE">
      <w:pPr>
        <w:pStyle w:val="NumberedList"/>
        <w:numPr>
          <w:ilvl w:val="0"/>
          <w:numId w:val="26"/>
        </w:numPr>
      </w:pPr>
      <w:r w:rsidRPr="00CE3895">
        <w:t xml:space="preserve">Produce and promote suites of products that will assist tourism businesses to develop high-quality, distinctly Australian agritourism experiences and build business capability programs that drive innovation, </w:t>
      </w:r>
      <w:proofErr w:type="gramStart"/>
      <w:r w:rsidRPr="00CE3895">
        <w:t>diversification</w:t>
      </w:r>
      <w:proofErr w:type="gramEnd"/>
      <w:r w:rsidRPr="00CE3895">
        <w:t xml:space="preserve"> and regional product development.</w:t>
      </w:r>
    </w:p>
    <w:p w14:paraId="79337CA1" w14:textId="507C2D93" w:rsidR="00465997" w:rsidRDefault="00465997" w:rsidP="00465997">
      <w:r w:rsidRPr="00465997">
        <w:t xml:space="preserve">Action </w:t>
      </w:r>
      <w:proofErr w:type="gramStart"/>
      <w:r w:rsidRPr="00465997">
        <w:t>lead</w:t>
      </w:r>
      <w:proofErr w:type="gramEnd"/>
      <w:r w:rsidRPr="00465997">
        <w:t xml:space="preserve"> (Partners): Australian Regional Tourism</w:t>
      </w:r>
    </w:p>
    <w:p w14:paraId="7A936037" w14:textId="74A84A9D" w:rsidR="006414CC" w:rsidRDefault="006414CC" w:rsidP="000124FE">
      <w:pPr>
        <w:pStyle w:val="NumberedList"/>
        <w:numPr>
          <w:ilvl w:val="0"/>
          <w:numId w:val="26"/>
        </w:numPr>
      </w:pPr>
      <w:r w:rsidRPr="006414CC">
        <w:lastRenderedPageBreak/>
        <w:t>Encourage the industry to operate in ways that respect and reinforce Indigenous cultural heritage and the living cultures of First Nations communities through Ecotourism Australia’s Respecting our Culture program.</w:t>
      </w:r>
    </w:p>
    <w:p w14:paraId="52B2B4AD" w14:textId="46ED4974" w:rsidR="00E42C80" w:rsidRDefault="00E42C80" w:rsidP="00E42C80">
      <w:bookmarkStart w:id="0" w:name="_Hlk139017381"/>
      <w:r>
        <w:t xml:space="preserve">Action </w:t>
      </w:r>
      <w:proofErr w:type="gramStart"/>
      <w:r>
        <w:t>lead</w:t>
      </w:r>
      <w:proofErr w:type="gramEnd"/>
      <w:r>
        <w:t xml:space="preserve"> (Partners):</w:t>
      </w:r>
      <w:r w:rsidR="00B25B17">
        <w:t xml:space="preserve"> </w:t>
      </w:r>
      <w:bookmarkEnd w:id="0"/>
      <w:r w:rsidR="00735B20" w:rsidRPr="004254E4">
        <w:t>Ecotourism Australia</w:t>
      </w:r>
    </w:p>
    <w:p w14:paraId="57CA3BBC" w14:textId="486D6CA8" w:rsidR="00E42C80" w:rsidRPr="00E42C80" w:rsidRDefault="00E42C80" w:rsidP="00E42C80">
      <w:r>
        <w:t>Status:</w:t>
      </w:r>
      <w:r w:rsidR="000E28B2" w:rsidRPr="000E28B2">
        <w:t xml:space="preserve"> </w:t>
      </w:r>
      <w:r w:rsidR="000E28B2">
        <w:t>Underway</w:t>
      </w:r>
    </w:p>
    <w:p w14:paraId="3FB10EC4" w14:textId="3B5D1596" w:rsidR="0014797E" w:rsidRDefault="0014797E" w:rsidP="0014797E">
      <w:pPr>
        <w:pStyle w:val="Heading3"/>
      </w:pPr>
      <w:r>
        <w:t>Action 7.6</w:t>
      </w:r>
    </w:p>
    <w:p w14:paraId="094F3068" w14:textId="101D33A9" w:rsidR="00E42C80" w:rsidRDefault="00E42C80" w:rsidP="00E42C80">
      <w:r>
        <w:t xml:space="preserve">Action item: </w:t>
      </w:r>
      <w:r w:rsidR="005B2AA9" w:rsidRPr="005B2AA9">
        <w:t>Encourage the creation of new and expansion of existing First Nations-owned and operated tourism enterprises.</w:t>
      </w:r>
    </w:p>
    <w:p w14:paraId="3E00A9D2" w14:textId="46F830F0" w:rsidR="00E42C80" w:rsidRDefault="00E42C80" w:rsidP="00E42C80">
      <w:r>
        <w:t xml:space="preserve">Action </w:t>
      </w:r>
      <w:proofErr w:type="gramStart"/>
      <w:r>
        <w:t>lead</w:t>
      </w:r>
      <w:proofErr w:type="gramEnd"/>
      <w:r>
        <w:t xml:space="preserve"> (Partners):</w:t>
      </w:r>
      <w:r w:rsidR="005B2A64" w:rsidRPr="005B2A64">
        <w:t xml:space="preserve"> VE industry, NIAA (Austrade, S&amp;TG)</w:t>
      </w:r>
    </w:p>
    <w:p w14:paraId="37D1DE70" w14:textId="140547F4" w:rsidR="00E42C80" w:rsidRPr="00E42C80" w:rsidRDefault="00E42C80" w:rsidP="00E42C80">
      <w:r>
        <w:t>Status:</w:t>
      </w:r>
      <w:r w:rsidR="00C22D78" w:rsidRPr="00C22D78">
        <w:t xml:space="preserve"> Underway</w:t>
      </w:r>
    </w:p>
    <w:p w14:paraId="34AA334D" w14:textId="70E0D048" w:rsidR="0014797E" w:rsidRDefault="0014797E" w:rsidP="0014797E">
      <w:pPr>
        <w:pStyle w:val="Heading3"/>
      </w:pPr>
      <w:r>
        <w:t>Action 7.7</w:t>
      </w:r>
    </w:p>
    <w:p w14:paraId="7843AEA8" w14:textId="3D7B786A" w:rsidR="00E42C80" w:rsidRDefault="00E42C80" w:rsidP="00E42C80">
      <w:r>
        <w:t xml:space="preserve">Action item: </w:t>
      </w:r>
      <w:r w:rsidR="00525D4E" w:rsidRPr="004254E4">
        <w:t>Enhance the visitor experience through use and availability of technology.</w:t>
      </w:r>
    </w:p>
    <w:p w14:paraId="5790639B" w14:textId="2F4F4B25" w:rsidR="00E42C80" w:rsidRDefault="00E42C80" w:rsidP="00E42C80">
      <w:r>
        <w:t xml:space="preserve">Action </w:t>
      </w:r>
      <w:proofErr w:type="gramStart"/>
      <w:r>
        <w:t>lead</w:t>
      </w:r>
      <w:proofErr w:type="gramEnd"/>
      <w:r>
        <w:t xml:space="preserve"> (Partners):</w:t>
      </w:r>
      <w:r w:rsidR="004B0148" w:rsidRPr="004B0148">
        <w:t xml:space="preserve"> VE industry</w:t>
      </w:r>
    </w:p>
    <w:p w14:paraId="56724165" w14:textId="09ED0C49" w:rsidR="00B37585" w:rsidRDefault="00E42C80" w:rsidP="00E42C80">
      <w:r>
        <w:t>Status:</w:t>
      </w:r>
      <w:r w:rsidR="00AF2889" w:rsidRPr="00AF2889">
        <w:t xml:space="preserve"> </w:t>
      </w:r>
      <w:r w:rsidR="00AF2889">
        <w:t>Pending</w:t>
      </w:r>
    </w:p>
    <w:p w14:paraId="65FCF2A8" w14:textId="77777777" w:rsidR="00B37585" w:rsidRDefault="00B37585">
      <w:pPr>
        <w:spacing w:before="0" w:after="160" w:line="259" w:lineRule="auto"/>
      </w:pPr>
      <w:r>
        <w:br w:type="page"/>
      </w:r>
    </w:p>
    <w:p w14:paraId="261EE2BC" w14:textId="4334C5BA" w:rsidR="00E42C80" w:rsidRDefault="00B37585" w:rsidP="003C2C5B">
      <w:pPr>
        <w:pStyle w:val="Heading1"/>
      </w:pPr>
      <w:r>
        <w:lastRenderedPageBreak/>
        <w:t>Attachment A: List of Acronyms</w:t>
      </w:r>
    </w:p>
    <w:p w14:paraId="293FD522" w14:textId="77777777" w:rsidR="002A2EF9" w:rsidRPr="001A26C8" w:rsidRDefault="002A2EF9">
      <w:pPr>
        <w:tabs>
          <w:tab w:val="left" w:pos="1724"/>
        </w:tabs>
        <w:spacing w:line="276" w:lineRule="auto"/>
        <w:ind w:left="108"/>
      </w:pPr>
      <w:r w:rsidRPr="001A26C8">
        <w:t>AAoA</w:t>
      </w:r>
      <w:r w:rsidRPr="001A26C8">
        <w:tab/>
        <w:t>Accommodation Association of Australia</w:t>
      </w:r>
    </w:p>
    <w:p w14:paraId="10E05046" w14:textId="77777777" w:rsidR="002A2EF9" w:rsidRPr="001A26C8" w:rsidRDefault="002A2EF9">
      <w:pPr>
        <w:tabs>
          <w:tab w:val="left" w:pos="1724"/>
        </w:tabs>
        <w:spacing w:line="276" w:lineRule="auto"/>
        <w:ind w:left="108"/>
      </w:pPr>
      <w:r w:rsidRPr="001A26C8">
        <w:t>ABF</w:t>
      </w:r>
      <w:r w:rsidRPr="001A26C8">
        <w:tab/>
        <w:t>Australian Border Force</w:t>
      </w:r>
    </w:p>
    <w:p w14:paraId="08743585" w14:textId="77777777" w:rsidR="002A2EF9" w:rsidRPr="001A26C8" w:rsidRDefault="002A2EF9">
      <w:pPr>
        <w:tabs>
          <w:tab w:val="left" w:pos="1724"/>
        </w:tabs>
        <w:spacing w:line="276" w:lineRule="auto"/>
        <w:ind w:left="108"/>
      </w:pPr>
      <w:r w:rsidRPr="001A26C8">
        <w:t>ABS</w:t>
      </w:r>
      <w:r w:rsidRPr="001A26C8">
        <w:tab/>
        <w:t>Australian Bureau of Statistics</w:t>
      </w:r>
    </w:p>
    <w:p w14:paraId="6D35E99C" w14:textId="77777777" w:rsidR="002A2EF9" w:rsidRPr="001A26C8" w:rsidRDefault="002A2EF9">
      <w:pPr>
        <w:tabs>
          <w:tab w:val="left" w:pos="1724"/>
        </w:tabs>
        <w:spacing w:line="276" w:lineRule="auto"/>
        <w:ind w:left="108"/>
      </w:pPr>
      <w:r w:rsidRPr="001A26C8">
        <w:t>ACA</w:t>
      </w:r>
      <w:r w:rsidRPr="001A26C8">
        <w:tab/>
        <w:t>Australia Cruise Association</w:t>
      </w:r>
    </w:p>
    <w:p w14:paraId="484FEBA6" w14:textId="77777777" w:rsidR="002A2EF9" w:rsidRPr="001A26C8" w:rsidRDefault="002A2EF9">
      <w:pPr>
        <w:tabs>
          <w:tab w:val="left" w:pos="1724"/>
        </w:tabs>
        <w:spacing w:line="276" w:lineRule="auto"/>
        <w:ind w:left="108"/>
      </w:pPr>
      <w:r w:rsidRPr="001A26C8">
        <w:t>ANZSCO</w:t>
      </w:r>
      <w:r w:rsidRPr="001A26C8">
        <w:tab/>
        <w:t>Australian and New Zealand Standard Classification of Occupations</w:t>
      </w:r>
    </w:p>
    <w:p w14:paraId="3D102163" w14:textId="77777777" w:rsidR="002A2EF9" w:rsidRPr="001A26C8" w:rsidRDefault="002A2EF9">
      <w:pPr>
        <w:tabs>
          <w:tab w:val="left" w:pos="1724"/>
        </w:tabs>
        <w:spacing w:line="276" w:lineRule="auto"/>
        <w:ind w:left="108"/>
      </w:pPr>
      <w:r w:rsidRPr="001A26C8">
        <w:t>ASCOT</w:t>
      </w:r>
      <w:r w:rsidRPr="001A26C8">
        <w:tab/>
        <w:t>Australian Standing Committee on Tourism</w:t>
      </w:r>
    </w:p>
    <w:p w14:paraId="2EDDA3E4" w14:textId="77777777" w:rsidR="002A2EF9" w:rsidRPr="001A26C8" w:rsidRDefault="002A2EF9">
      <w:pPr>
        <w:tabs>
          <w:tab w:val="left" w:pos="1724"/>
        </w:tabs>
        <w:spacing w:line="276" w:lineRule="auto"/>
        <w:ind w:left="108"/>
      </w:pPr>
      <w:r w:rsidRPr="001A26C8">
        <w:t>ATE</w:t>
      </w:r>
      <w:r w:rsidRPr="001A26C8">
        <w:tab/>
        <w:t>Australian Tourism Exchange</w:t>
      </w:r>
    </w:p>
    <w:p w14:paraId="07E51BE7" w14:textId="77777777" w:rsidR="002A2EF9" w:rsidRPr="001A26C8" w:rsidRDefault="002A2EF9">
      <w:pPr>
        <w:tabs>
          <w:tab w:val="left" w:pos="1724"/>
        </w:tabs>
        <w:spacing w:line="276" w:lineRule="auto"/>
        <w:ind w:left="108"/>
      </w:pPr>
      <w:r w:rsidRPr="001A26C8">
        <w:t>ATO</w:t>
      </w:r>
      <w:r w:rsidRPr="001A26C8">
        <w:tab/>
        <w:t>Australian Taxation Office</w:t>
      </w:r>
    </w:p>
    <w:p w14:paraId="7B6C17A0" w14:textId="77777777" w:rsidR="002A2EF9" w:rsidRPr="001A26C8" w:rsidRDefault="002A2EF9">
      <w:pPr>
        <w:tabs>
          <w:tab w:val="left" w:pos="1724"/>
        </w:tabs>
        <w:spacing w:line="276" w:lineRule="auto"/>
        <w:ind w:left="108"/>
      </w:pPr>
      <w:r w:rsidRPr="001A26C8">
        <w:t>Austrade</w:t>
      </w:r>
      <w:r w:rsidRPr="001A26C8">
        <w:tab/>
        <w:t>Australian Trade and Investment Commission</w:t>
      </w:r>
    </w:p>
    <w:p w14:paraId="7CD3437E" w14:textId="77777777" w:rsidR="002A2EF9" w:rsidRPr="001A26C8" w:rsidRDefault="002A2EF9">
      <w:pPr>
        <w:tabs>
          <w:tab w:val="left" w:pos="1724"/>
        </w:tabs>
        <w:spacing w:line="276" w:lineRule="auto"/>
        <w:ind w:left="108"/>
      </w:pPr>
      <w:r w:rsidRPr="001A26C8">
        <w:t>BECA</w:t>
      </w:r>
      <w:r w:rsidRPr="001A26C8">
        <w:tab/>
        <w:t>Business Events Council of Australia</w:t>
      </w:r>
    </w:p>
    <w:p w14:paraId="4FD1280B" w14:textId="77777777" w:rsidR="002A2EF9" w:rsidRPr="001A26C8" w:rsidRDefault="002A2EF9">
      <w:pPr>
        <w:tabs>
          <w:tab w:val="left" w:pos="1724"/>
        </w:tabs>
        <w:spacing w:line="276" w:lineRule="auto"/>
        <w:ind w:left="108"/>
      </w:pPr>
      <w:r w:rsidRPr="001A26C8">
        <w:t>CLIA</w:t>
      </w:r>
      <w:r w:rsidRPr="001A26C8">
        <w:tab/>
        <w:t>Cruise Lines International Australia</w:t>
      </w:r>
    </w:p>
    <w:p w14:paraId="25F9FDCC" w14:textId="77777777" w:rsidR="002A2EF9" w:rsidRPr="001A26C8" w:rsidRDefault="002A2EF9">
      <w:pPr>
        <w:tabs>
          <w:tab w:val="left" w:pos="1724"/>
        </w:tabs>
        <w:spacing w:line="276" w:lineRule="auto"/>
        <w:ind w:left="108"/>
      </w:pPr>
      <w:r w:rsidRPr="001A26C8">
        <w:t>DAFF</w:t>
      </w:r>
      <w:r w:rsidRPr="001A26C8">
        <w:tab/>
        <w:t>Department of Agriculture, Fisheries and Forestry</w:t>
      </w:r>
    </w:p>
    <w:p w14:paraId="028A3FBF" w14:textId="77777777" w:rsidR="002A2EF9" w:rsidRPr="001A26C8" w:rsidRDefault="002A2EF9">
      <w:pPr>
        <w:tabs>
          <w:tab w:val="left" w:pos="1724"/>
        </w:tabs>
        <w:spacing w:line="276" w:lineRule="auto"/>
        <w:ind w:left="108"/>
      </w:pPr>
      <w:r w:rsidRPr="001A26C8">
        <w:t>DCCEEW</w:t>
      </w:r>
      <w:r w:rsidRPr="001A26C8">
        <w:tab/>
        <w:t>Department of Climate Change, Energy, the Environment and Water</w:t>
      </w:r>
    </w:p>
    <w:p w14:paraId="0CBC448D" w14:textId="77777777" w:rsidR="002A2EF9" w:rsidRPr="001A26C8" w:rsidRDefault="002A2EF9">
      <w:pPr>
        <w:tabs>
          <w:tab w:val="left" w:pos="1724"/>
        </w:tabs>
        <w:spacing w:line="276" w:lineRule="auto"/>
        <w:ind w:left="108"/>
      </w:pPr>
      <w:r w:rsidRPr="001A26C8">
        <w:t>DEWR</w:t>
      </w:r>
      <w:r w:rsidRPr="001A26C8">
        <w:tab/>
        <w:t xml:space="preserve">Department of Employment and Workplace Relations </w:t>
      </w:r>
    </w:p>
    <w:p w14:paraId="2D9E979D" w14:textId="77777777" w:rsidR="002A2EF9" w:rsidRPr="001A26C8" w:rsidRDefault="002A2EF9">
      <w:pPr>
        <w:tabs>
          <w:tab w:val="left" w:pos="1724"/>
        </w:tabs>
        <w:spacing w:line="276" w:lineRule="auto"/>
        <w:ind w:left="108"/>
      </w:pPr>
      <w:r w:rsidRPr="001A26C8">
        <w:t>DFAT</w:t>
      </w:r>
      <w:r w:rsidRPr="001A26C8">
        <w:tab/>
        <w:t>Department of Foreign Affairs and Trade</w:t>
      </w:r>
    </w:p>
    <w:p w14:paraId="382B29F5" w14:textId="77777777" w:rsidR="002A2EF9" w:rsidRPr="001A26C8" w:rsidRDefault="002A2EF9">
      <w:pPr>
        <w:tabs>
          <w:tab w:val="left" w:pos="1724"/>
        </w:tabs>
        <w:spacing w:line="276" w:lineRule="auto"/>
        <w:ind w:left="108"/>
      </w:pPr>
      <w:r w:rsidRPr="001A26C8">
        <w:t>DITRDCA</w:t>
      </w:r>
      <w:r w:rsidRPr="001A26C8">
        <w:tab/>
        <w:t xml:space="preserve">Department of Infrastructure, Transport, Regional Development, </w:t>
      </w:r>
      <w:proofErr w:type="gramStart"/>
      <w:r w:rsidRPr="001A26C8">
        <w:t>Communications</w:t>
      </w:r>
      <w:proofErr w:type="gramEnd"/>
      <w:r w:rsidRPr="001A26C8">
        <w:t xml:space="preserve"> and the Arts </w:t>
      </w:r>
    </w:p>
    <w:p w14:paraId="6AF574FB" w14:textId="77777777" w:rsidR="002A2EF9" w:rsidRPr="001A26C8" w:rsidRDefault="002A2EF9">
      <w:pPr>
        <w:tabs>
          <w:tab w:val="left" w:pos="1724"/>
        </w:tabs>
        <w:spacing w:line="276" w:lineRule="auto"/>
        <w:ind w:left="108"/>
      </w:pPr>
      <w:r w:rsidRPr="001A26C8">
        <w:t>DoE</w:t>
      </w:r>
      <w:r w:rsidRPr="001A26C8">
        <w:tab/>
        <w:t>Department of Education</w:t>
      </w:r>
    </w:p>
    <w:p w14:paraId="6595A297" w14:textId="77777777" w:rsidR="002A2EF9" w:rsidRPr="001A26C8" w:rsidRDefault="002A2EF9">
      <w:pPr>
        <w:tabs>
          <w:tab w:val="left" w:pos="1724"/>
        </w:tabs>
        <w:spacing w:line="276" w:lineRule="auto"/>
        <w:ind w:left="108"/>
      </w:pPr>
      <w:r w:rsidRPr="001A26C8">
        <w:t>DoH</w:t>
      </w:r>
      <w:r w:rsidRPr="001A26C8">
        <w:tab/>
        <w:t>Department of Health and Aged Care</w:t>
      </w:r>
    </w:p>
    <w:p w14:paraId="388B59CA" w14:textId="77777777" w:rsidR="002A2EF9" w:rsidRPr="001A26C8" w:rsidRDefault="002A2EF9">
      <w:pPr>
        <w:tabs>
          <w:tab w:val="left" w:pos="1724"/>
        </w:tabs>
        <w:spacing w:line="276" w:lineRule="auto"/>
        <w:ind w:left="108"/>
      </w:pPr>
      <w:r w:rsidRPr="001A26C8">
        <w:t>DSS</w:t>
      </w:r>
      <w:r w:rsidRPr="001A26C8">
        <w:tab/>
        <w:t>Department of Social Services</w:t>
      </w:r>
    </w:p>
    <w:p w14:paraId="5500798A" w14:textId="77777777" w:rsidR="002A2EF9" w:rsidRPr="001A26C8" w:rsidRDefault="002A2EF9">
      <w:pPr>
        <w:tabs>
          <w:tab w:val="left" w:pos="1724"/>
        </w:tabs>
        <w:spacing w:line="276" w:lineRule="auto"/>
        <w:ind w:left="108"/>
      </w:pPr>
      <w:r w:rsidRPr="001A26C8">
        <w:t>FWO</w:t>
      </w:r>
      <w:r w:rsidRPr="001A26C8">
        <w:tab/>
        <w:t>Fair Work Ombudsman</w:t>
      </w:r>
    </w:p>
    <w:p w14:paraId="0E439733" w14:textId="77777777" w:rsidR="002A2EF9" w:rsidRPr="001A26C8" w:rsidRDefault="002A2EF9">
      <w:pPr>
        <w:tabs>
          <w:tab w:val="left" w:pos="1724"/>
        </w:tabs>
        <w:spacing w:line="276" w:lineRule="auto"/>
        <w:ind w:left="108"/>
      </w:pPr>
      <w:r w:rsidRPr="001A26C8">
        <w:t>Home Affairs</w:t>
      </w:r>
      <w:r w:rsidRPr="001A26C8">
        <w:tab/>
        <w:t>Department of Home Affairs</w:t>
      </w:r>
    </w:p>
    <w:p w14:paraId="520C40DD" w14:textId="77777777" w:rsidR="002A2EF9" w:rsidRPr="001A26C8" w:rsidRDefault="002A2EF9">
      <w:pPr>
        <w:tabs>
          <w:tab w:val="left" w:pos="1724"/>
        </w:tabs>
        <w:spacing w:line="276" w:lineRule="auto"/>
        <w:ind w:left="108"/>
      </w:pPr>
      <w:r w:rsidRPr="001A26C8">
        <w:t>LG</w:t>
      </w:r>
      <w:r w:rsidRPr="001A26C8">
        <w:tab/>
        <w:t>Local governments</w:t>
      </w:r>
    </w:p>
    <w:p w14:paraId="3B21471C" w14:textId="77777777" w:rsidR="002A2EF9" w:rsidRPr="001A26C8" w:rsidRDefault="002A2EF9">
      <w:pPr>
        <w:tabs>
          <w:tab w:val="left" w:pos="1724"/>
        </w:tabs>
        <w:spacing w:line="276" w:lineRule="auto"/>
        <w:ind w:left="108"/>
      </w:pPr>
      <w:r w:rsidRPr="001A26C8">
        <w:t>NEMA</w:t>
      </w:r>
      <w:r w:rsidRPr="001A26C8">
        <w:tab/>
        <w:t xml:space="preserve">National Emergency Management Agency </w:t>
      </w:r>
    </w:p>
    <w:p w14:paraId="06B1DB6F" w14:textId="77777777" w:rsidR="002A2EF9" w:rsidRPr="001A26C8" w:rsidRDefault="002A2EF9">
      <w:pPr>
        <w:tabs>
          <w:tab w:val="left" w:pos="1724"/>
        </w:tabs>
        <w:spacing w:line="276" w:lineRule="auto"/>
        <w:ind w:left="108"/>
      </w:pPr>
      <w:r w:rsidRPr="001A26C8">
        <w:t>NIAA</w:t>
      </w:r>
      <w:r w:rsidRPr="001A26C8">
        <w:tab/>
        <w:t>National Indigenous Australians Agency</w:t>
      </w:r>
    </w:p>
    <w:p w14:paraId="703BF821" w14:textId="77777777" w:rsidR="002A2EF9" w:rsidRPr="001A26C8" w:rsidRDefault="002A2EF9">
      <w:pPr>
        <w:tabs>
          <w:tab w:val="left" w:pos="1724"/>
        </w:tabs>
        <w:spacing w:line="276" w:lineRule="auto"/>
        <w:ind w:left="108"/>
      </w:pPr>
      <w:r w:rsidRPr="001A26C8">
        <w:t>PALM</w:t>
      </w:r>
      <w:r w:rsidRPr="001A26C8">
        <w:tab/>
        <w:t>Pacific Australia Labour Mobility</w:t>
      </w:r>
    </w:p>
    <w:p w14:paraId="47AAFCC7" w14:textId="77777777" w:rsidR="002A2EF9" w:rsidRPr="001A26C8" w:rsidRDefault="002A2EF9">
      <w:pPr>
        <w:tabs>
          <w:tab w:val="left" w:pos="1724"/>
        </w:tabs>
        <w:spacing w:line="276" w:lineRule="auto"/>
        <w:ind w:left="108"/>
      </w:pPr>
      <w:r w:rsidRPr="001A26C8">
        <w:t>RDA</w:t>
      </w:r>
      <w:r w:rsidRPr="001A26C8">
        <w:tab/>
        <w:t>Regional Development Australia</w:t>
      </w:r>
    </w:p>
    <w:p w14:paraId="05B042A0" w14:textId="77777777" w:rsidR="002A2EF9" w:rsidRPr="001A26C8" w:rsidRDefault="002A2EF9">
      <w:pPr>
        <w:tabs>
          <w:tab w:val="left" w:pos="1724"/>
        </w:tabs>
        <w:spacing w:line="276" w:lineRule="auto"/>
        <w:ind w:left="108"/>
      </w:pPr>
      <w:r w:rsidRPr="001A26C8">
        <w:lastRenderedPageBreak/>
        <w:t>RTOs</w:t>
      </w:r>
      <w:r w:rsidRPr="001A26C8">
        <w:tab/>
        <w:t>Regional tourism organisations</w:t>
      </w:r>
    </w:p>
    <w:p w14:paraId="55F8AFEB" w14:textId="77777777" w:rsidR="002A2EF9" w:rsidRPr="001A26C8" w:rsidRDefault="002A2EF9">
      <w:pPr>
        <w:tabs>
          <w:tab w:val="left" w:pos="1724"/>
        </w:tabs>
        <w:spacing w:line="276" w:lineRule="auto"/>
        <w:ind w:left="108"/>
      </w:pPr>
      <w:r w:rsidRPr="001A26C8">
        <w:t>S&amp;TG</w:t>
      </w:r>
      <w:r w:rsidRPr="001A26C8">
        <w:tab/>
        <w:t>State and territory governments</w:t>
      </w:r>
    </w:p>
    <w:p w14:paraId="4081A243" w14:textId="77777777" w:rsidR="002A2EF9" w:rsidRPr="001A26C8" w:rsidRDefault="002A2EF9">
      <w:pPr>
        <w:tabs>
          <w:tab w:val="left" w:pos="1724"/>
        </w:tabs>
        <w:spacing w:line="276" w:lineRule="auto"/>
        <w:ind w:left="108"/>
      </w:pPr>
      <w:r w:rsidRPr="001A26C8">
        <w:t>STO</w:t>
      </w:r>
      <w:r w:rsidRPr="001A26C8">
        <w:tab/>
        <w:t>State tourism organisations</w:t>
      </w:r>
    </w:p>
    <w:p w14:paraId="483AC0A7" w14:textId="77777777" w:rsidR="002A2EF9" w:rsidRPr="001A26C8" w:rsidRDefault="002A2EF9">
      <w:pPr>
        <w:tabs>
          <w:tab w:val="left" w:pos="1724"/>
        </w:tabs>
        <w:spacing w:line="276" w:lineRule="auto"/>
        <w:ind w:left="108"/>
      </w:pPr>
      <w:r w:rsidRPr="001A26C8">
        <w:t>TA</w:t>
      </w:r>
      <w:r w:rsidRPr="001A26C8">
        <w:tab/>
        <w:t>Tourism Australia</w:t>
      </w:r>
    </w:p>
    <w:p w14:paraId="10FD981E" w14:textId="77777777" w:rsidR="002A2EF9" w:rsidRPr="001A26C8" w:rsidRDefault="002A2EF9">
      <w:pPr>
        <w:tabs>
          <w:tab w:val="left" w:pos="1724"/>
        </w:tabs>
        <w:spacing w:line="276" w:lineRule="auto"/>
        <w:ind w:left="108"/>
      </w:pPr>
      <w:r w:rsidRPr="001A26C8">
        <w:t>TRA</w:t>
      </w:r>
      <w:r w:rsidRPr="001A26C8">
        <w:tab/>
        <w:t>Tourism Research Australia</w:t>
      </w:r>
    </w:p>
    <w:p w14:paraId="6BC17B61" w14:textId="77777777" w:rsidR="002A2EF9" w:rsidRPr="001A26C8" w:rsidRDefault="002A2EF9">
      <w:pPr>
        <w:tabs>
          <w:tab w:val="left" w:pos="1724"/>
        </w:tabs>
        <w:spacing w:line="276" w:lineRule="auto"/>
        <w:ind w:left="108"/>
      </w:pPr>
      <w:r w:rsidRPr="001A26C8">
        <w:t>Treasury</w:t>
      </w:r>
      <w:r w:rsidRPr="001A26C8">
        <w:tab/>
        <w:t>Department of the Treasury</w:t>
      </w:r>
    </w:p>
    <w:p w14:paraId="78A73930" w14:textId="77777777" w:rsidR="002A2EF9" w:rsidRPr="001A26C8" w:rsidRDefault="002A2EF9">
      <w:pPr>
        <w:tabs>
          <w:tab w:val="left" w:pos="1724"/>
        </w:tabs>
        <w:spacing w:line="276" w:lineRule="auto"/>
        <w:ind w:left="108"/>
      </w:pPr>
      <w:r w:rsidRPr="001A26C8">
        <w:t>VE industry</w:t>
      </w:r>
      <w:r w:rsidRPr="001A26C8">
        <w:tab/>
        <w:t>Visitor economy industry</w:t>
      </w:r>
    </w:p>
    <w:p w14:paraId="4249D781" w14:textId="77777777" w:rsidR="002A2EF9" w:rsidRDefault="002A2EF9">
      <w:pPr>
        <w:tabs>
          <w:tab w:val="left" w:pos="1724"/>
        </w:tabs>
        <w:spacing w:line="276" w:lineRule="auto"/>
        <w:ind w:left="108"/>
      </w:pPr>
      <w:r w:rsidRPr="001A26C8">
        <w:t>VTIC</w:t>
      </w:r>
      <w:r w:rsidRPr="001A26C8">
        <w:tab/>
        <w:t>Victorian Tourism Industry Council</w:t>
      </w:r>
    </w:p>
    <w:p w14:paraId="215D0A79" w14:textId="77777777" w:rsidR="003F1DF3" w:rsidRDefault="003F1DF3">
      <w:pPr>
        <w:tabs>
          <w:tab w:val="left" w:pos="1724"/>
        </w:tabs>
        <w:spacing w:line="276" w:lineRule="auto"/>
        <w:ind w:left="108"/>
      </w:pPr>
    </w:p>
    <w:p w14:paraId="633DB966" w14:textId="51FE59C4" w:rsidR="003F1DF3" w:rsidRDefault="003F1DF3">
      <w:pPr>
        <w:spacing w:before="0" w:after="160" w:line="259" w:lineRule="auto"/>
      </w:pPr>
      <w:r>
        <w:br w:type="page"/>
      </w:r>
    </w:p>
    <w:p w14:paraId="7D7A8896" w14:textId="77777777" w:rsidR="00EA7FA0" w:rsidRPr="001A26C8" w:rsidRDefault="00EA7FA0" w:rsidP="00473CAE">
      <w:pPr>
        <w:pStyle w:val="Heading1"/>
      </w:pPr>
      <w:r w:rsidRPr="001A26C8">
        <w:lastRenderedPageBreak/>
        <w:t xml:space="preserve">Attachment B: Stakeholders consulted in preparing this </w:t>
      </w:r>
      <w:proofErr w:type="gramStart"/>
      <w:r w:rsidRPr="001A26C8">
        <w:t>report</w:t>
      </w:r>
      <w:proofErr w:type="gramEnd"/>
    </w:p>
    <w:p w14:paraId="60D6EF48" w14:textId="77777777" w:rsidR="00EA7FA0" w:rsidRPr="001A26C8" w:rsidRDefault="00EA7FA0" w:rsidP="00EA7FA0">
      <w:pPr>
        <w:pStyle w:val="NumberedList"/>
        <w:numPr>
          <w:ilvl w:val="0"/>
          <w:numId w:val="28"/>
        </w:numPr>
      </w:pPr>
      <w:r w:rsidRPr="001A26C8">
        <w:t>Accommodation Association of Australia</w:t>
      </w:r>
    </w:p>
    <w:p w14:paraId="30A682AF" w14:textId="77777777" w:rsidR="00EA7FA0" w:rsidRPr="001A26C8" w:rsidRDefault="00EA7FA0" w:rsidP="00EA7FA0">
      <w:pPr>
        <w:pStyle w:val="NumberedList"/>
      </w:pPr>
      <w:r>
        <w:t>Association of Australian Convention Bureaux</w:t>
      </w:r>
    </w:p>
    <w:p w14:paraId="7EF05221" w14:textId="77777777" w:rsidR="00EA7FA0" w:rsidRPr="001A26C8" w:rsidRDefault="00EA7FA0" w:rsidP="00EA7FA0">
      <w:pPr>
        <w:pStyle w:val="NumberedList"/>
      </w:pPr>
      <w:r>
        <w:t xml:space="preserve">Australian Amusement, </w:t>
      </w:r>
      <w:proofErr w:type="gramStart"/>
      <w:r>
        <w:t>Leisure</w:t>
      </w:r>
      <w:proofErr w:type="gramEnd"/>
      <w:r>
        <w:t xml:space="preserve"> and Recreation Association</w:t>
      </w:r>
    </w:p>
    <w:p w14:paraId="648BC508" w14:textId="77777777" w:rsidR="00EA7FA0" w:rsidRPr="001A26C8" w:rsidRDefault="00EA7FA0" w:rsidP="00EA7FA0">
      <w:pPr>
        <w:pStyle w:val="NumberedList"/>
      </w:pPr>
      <w:r>
        <w:t>Australian Border Force</w:t>
      </w:r>
    </w:p>
    <w:p w14:paraId="6112A649" w14:textId="77777777" w:rsidR="00EA7FA0" w:rsidRPr="001A26C8" w:rsidRDefault="00EA7FA0" w:rsidP="00EA7FA0">
      <w:pPr>
        <w:pStyle w:val="NumberedList"/>
      </w:pPr>
      <w:r>
        <w:t xml:space="preserve">Australian Bureau of Statistics </w:t>
      </w:r>
    </w:p>
    <w:p w14:paraId="23822B51" w14:textId="77777777" w:rsidR="00EA7FA0" w:rsidRPr="001A26C8" w:rsidRDefault="00EA7FA0" w:rsidP="00EA7FA0">
      <w:pPr>
        <w:pStyle w:val="NumberedList"/>
      </w:pPr>
      <w:r>
        <w:t xml:space="preserve">Australian Chamber of Commerce and Industry – Tourism </w:t>
      </w:r>
    </w:p>
    <w:p w14:paraId="53C49260" w14:textId="77777777" w:rsidR="00EA7FA0" w:rsidRPr="001A26C8" w:rsidRDefault="00EA7FA0" w:rsidP="00EA7FA0">
      <w:pPr>
        <w:pStyle w:val="NumberedList"/>
      </w:pPr>
      <w:r>
        <w:t>Australian Cruise Association</w:t>
      </w:r>
    </w:p>
    <w:p w14:paraId="37303F72" w14:textId="77777777" w:rsidR="00EA7FA0" w:rsidRPr="001A26C8" w:rsidRDefault="00EA7FA0" w:rsidP="00EA7FA0">
      <w:pPr>
        <w:pStyle w:val="NumberedList"/>
      </w:pPr>
      <w:r>
        <w:t>Australian Federation of Travel Agents</w:t>
      </w:r>
    </w:p>
    <w:p w14:paraId="50FED8B2" w14:textId="77777777" w:rsidR="00EA7FA0" w:rsidRPr="001A26C8" w:rsidRDefault="00EA7FA0" w:rsidP="00EA7FA0">
      <w:pPr>
        <w:pStyle w:val="NumberedList"/>
      </w:pPr>
      <w:r>
        <w:t>Australian Regional Tourism</w:t>
      </w:r>
    </w:p>
    <w:p w14:paraId="5BCC0E29" w14:textId="77777777" w:rsidR="00EA7FA0" w:rsidRPr="001A26C8" w:rsidRDefault="00EA7FA0" w:rsidP="00EA7FA0">
      <w:pPr>
        <w:pStyle w:val="NumberedList"/>
      </w:pPr>
      <w:r>
        <w:t>Australian Taxation Office</w:t>
      </w:r>
    </w:p>
    <w:p w14:paraId="3E483182" w14:textId="77777777" w:rsidR="00EA7FA0" w:rsidRPr="001A26C8" w:rsidRDefault="00EA7FA0" w:rsidP="00EA7FA0">
      <w:pPr>
        <w:pStyle w:val="NumberedList"/>
      </w:pPr>
      <w:r>
        <w:t>Australian Tourism Export Council</w:t>
      </w:r>
    </w:p>
    <w:p w14:paraId="72A0104E" w14:textId="77777777" w:rsidR="00EA7FA0" w:rsidRPr="001A26C8" w:rsidRDefault="00EA7FA0" w:rsidP="00EA7FA0">
      <w:pPr>
        <w:pStyle w:val="NumberedList"/>
      </w:pPr>
      <w:r>
        <w:t>Australian Tourism Industry Council</w:t>
      </w:r>
    </w:p>
    <w:p w14:paraId="019E7681" w14:textId="77777777" w:rsidR="00EA7FA0" w:rsidRPr="001A26C8" w:rsidRDefault="00EA7FA0" w:rsidP="00EA7FA0">
      <w:pPr>
        <w:pStyle w:val="NumberedList"/>
      </w:pPr>
      <w:r>
        <w:t>Business Events Council of Australia</w:t>
      </w:r>
    </w:p>
    <w:p w14:paraId="3734D136" w14:textId="77777777" w:rsidR="00EA7FA0" w:rsidRPr="001A26C8" w:rsidRDefault="00EA7FA0" w:rsidP="00EA7FA0">
      <w:pPr>
        <w:pStyle w:val="NumberedList"/>
      </w:pPr>
      <w:r>
        <w:t>Caravan Industry Association of Australia</w:t>
      </w:r>
    </w:p>
    <w:p w14:paraId="004ACDC1" w14:textId="77777777" w:rsidR="00EA7FA0" w:rsidRPr="001A26C8" w:rsidRDefault="00EA7FA0" w:rsidP="00EA7FA0">
      <w:pPr>
        <w:pStyle w:val="NumberedList"/>
      </w:pPr>
      <w:r>
        <w:t>Clubs Australia</w:t>
      </w:r>
    </w:p>
    <w:p w14:paraId="50C4087B" w14:textId="77777777" w:rsidR="00EA7FA0" w:rsidRPr="001A26C8" w:rsidRDefault="00EA7FA0" w:rsidP="00EA7FA0">
      <w:pPr>
        <w:pStyle w:val="NumberedList"/>
      </w:pPr>
      <w:r>
        <w:t>Council for Australasian Tourism and Hospitality Education</w:t>
      </w:r>
    </w:p>
    <w:p w14:paraId="0B862656" w14:textId="77777777" w:rsidR="00EA7FA0" w:rsidRPr="001A26C8" w:rsidRDefault="00EA7FA0" w:rsidP="00EA7FA0">
      <w:pPr>
        <w:pStyle w:val="NumberedList"/>
      </w:pPr>
      <w:r>
        <w:t xml:space="preserve">Council of Australian Tour Operators </w:t>
      </w:r>
    </w:p>
    <w:p w14:paraId="34797654" w14:textId="77777777" w:rsidR="00EA7FA0" w:rsidRPr="001A26C8" w:rsidRDefault="00EA7FA0" w:rsidP="00EA7FA0">
      <w:pPr>
        <w:pStyle w:val="NumberedList"/>
      </w:pPr>
      <w:r>
        <w:t xml:space="preserve">Cruise Lines International Association </w:t>
      </w:r>
    </w:p>
    <w:p w14:paraId="32BD3A20" w14:textId="77777777" w:rsidR="00EA7FA0" w:rsidRPr="001A26C8" w:rsidRDefault="00EA7FA0" w:rsidP="00EA7FA0">
      <w:pPr>
        <w:pStyle w:val="NumberedList"/>
      </w:pPr>
      <w:r>
        <w:t>Department of Agriculture, Fisheries and Forestry</w:t>
      </w:r>
    </w:p>
    <w:p w14:paraId="206BADA7" w14:textId="77777777" w:rsidR="00EA7FA0" w:rsidRPr="001A26C8" w:rsidRDefault="00EA7FA0" w:rsidP="00EA7FA0">
      <w:pPr>
        <w:pStyle w:val="NumberedList"/>
      </w:pPr>
      <w:r>
        <w:t>Department of Climate Change, Energy, the Environment and Water</w:t>
      </w:r>
    </w:p>
    <w:p w14:paraId="5DF192D8" w14:textId="77777777" w:rsidR="00EA7FA0" w:rsidRPr="001A26C8" w:rsidRDefault="00EA7FA0" w:rsidP="00EA7FA0">
      <w:pPr>
        <w:pStyle w:val="NumberedList"/>
      </w:pPr>
      <w:r>
        <w:t xml:space="preserve">Department of Education </w:t>
      </w:r>
    </w:p>
    <w:p w14:paraId="179B44A2" w14:textId="77777777" w:rsidR="00EA7FA0" w:rsidRPr="001A26C8" w:rsidRDefault="00EA7FA0" w:rsidP="00EA7FA0">
      <w:pPr>
        <w:pStyle w:val="NumberedList"/>
      </w:pPr>
      <w:r>
        <w:t>Department of Employment and Workplace Relations</w:t>
      </w:r>
    </w:p>
    <w:p w14:paraId="3AA4BE5D" w14:textId="77777777" w:rsidR="00EA7FA0" w:rsidRPr="001A26C8" w:rsidRDefault="00EA7FA0" w:rsidP="00EA7FA0">
      <w:pPr>
        <w:pStyle w:val="NumberedList"/>
      </w:pPr>
      <w:r>
        <w:t>Department of Foreign Affairs and Trade</w:t>
      </w:r>
    </w:p>
    <w:p w14:paraId="5D27C283" w14:textId="77777777" w:rsidR="00EA7FA0" w:rsidRPr="001A26C8" w:rsidRDefault="00EA7FA0" w:rsidP="00EA7FA0">
      <w:pPr>
        <w:pStyle w:val="NumberedList"/>
      </w:pPr>
      <w:r>
        <w:t>Department of Health and Aged Care</w:t>
      </w:r>
    </w:p>
    <w:p w14:paraId="595DF56D" w14:textId="77777777" w:rsidR="00EA7FA0" w:rsidRPr="001A26C8" w:rsidRDefault="00EA7FA0" w:rsidP="00EA7FA0">
      <w:pPr>
        <w:pStyle w:val="NumberedList"/>
      </w:pPr>
      <w:r>
        <w:t>Department of Home Affairs</w:t>
      </w:r>
    </w:p>
    <w:p w14:paraId="049D4EA3" w14:textId="77777777" w:rsidR="00EA7FA0" w:rsidRPr="001A26C8" w:rsidRDefault="00EA7FA0" w:rsidP="00EA7FA0">
      <w:pPr>
        <w:pStyle w:val="NumberedList"/>
      </w:pPr>
      <w:r>
        <w:t>Department of Industry, Tourism and Trade (Northern Territory Government)</w:t>
      </w:r>
    </w:p>
    <w:p w14:paraId="21DE763E" w14:textId="77777777" w:rsidR="00EA7FA0" w:rsidRPr="001A26C8" w:rsidRDefault="00EA7FA0" w:rsidP="00EA7FA0">
      <w:pPr>
        <w:pStyle w:val="NumberedList"/>
      </w:pPr>
      <w:r>
        <w:t xml:space="preserve">Department of Infrastructure, Transport, Regional Development, </w:t>
      </w:r>
      <w:proofErr w:type="gramStart"/>
      <w:r>
        <w:t>Communications</w:t>
      </w:r>
      <w:proofErr w:type="gramEnd"/>
      <w:r>
        <w:t xml:space="preserve"> and the Arts</w:t>
      </w:r>
    </w:p>
    <w:p w14:paraId="6E6AF6BF" w14:textId="77777777" w:rsidR="00EA7FA0" w:rsidRPr="001A26C8" w:rsidRDefault="00EA7FA0" w:rsidP="00EA7FA0">
      <w:pPr>
        <w:pStyle w:val="NumberedList"/>
      </w:pPr>
      <w:r>
        <w:t>Department of Jobs, Skills, Industry and Regions (Victorian Government)</w:t>
      </w:r>
    </w:p>
    <w:p w14:paraId="1888EF81" w14:textId="77777777" w:rsidR="00EA7FA0" w:rsidRPr="001A26C8" w:rsidRDefault="00EA7FA0" w:rsidP="00EA7FA0">
      <w:pPr>
        <w:pStyle w:val="NumberedList"/>
      </w:pPr>
      <w:r>
        <w:t>Department of Social Services</w:t>
      </w:r>
    </w:p>
    <w:p w14:paraId="5858F3EA" w14:textId="77777777" w:rsidR="00EA7FA0" w:rsidRPr="001A26C8" w:rsidRDefault="00EA7FA0" w:rsidP="00EA7FA0">
      <w:pPr>
        <w:pStyle w:val="NumberedList"/>
      </w:pPr>
      <w:r>
        <w:t>Department of the Treasury</w:t>
      </w:r>
    </w:p>
    <w:p w14:paraId="67923FDB" w14:textId="77777777" w:rsidR="00EA7FA0" w:rsidRPr="001A26C8" w:rsidRDefault="00EA7FA0" w:rsidP="00EA7FA0">
      <w:pPr>
        <w:pStyle w:val="NumberedList"/>
      </w:pPr>
      <w:r>
        <w:t>Department of Tourism, Innovation and Sport (Queensland Government)</w:t>
      </w:r>
    </w:p>
    <w:p w14:paraId="70A8AB51" w14:textId="77777777" w:rsidR="00EA7FA0" w:rsidRPr="001A26C8" w:rsidRDefault="00EA7FA0" w:rsidP="00EA7FA0">
      <w:pPr>
        <w:pStyle w:val="NumberedList"/>
      </w:pPr>
      <w:r>
        <w:t>Destination NSW</w:t>
      </w:r>
    </w:p>
    <w:p w14:paraId="11C13ECF" w14:textId="77777777" w:rsidR="00EA7FA0" w:rsidRPr="001A26C8" w:rsidRDefault="00EA7FA0" w:rsidP="00EA7FA0">
      <w:pPr>
        <w:pStyle w:val="NumberedList"/>
      </w:pPr>
      <w:r>
        <w:t>Ecotourism Australia</w:t>
      </w:r>
    </w:p>
    <w:p w14:paraId="3D9352C2" w14:textId="77777777" w:rsidR="00EA7FA0" w:rsidRPr="001A26C8" w:rsidRDefault="00EA7FA0" w:rsidP="00EA7FA0">
      <w:pPr>
        <w:pStyle w:val="NumberedList"/>
      </w:pPr>
      <w:r>
        <w:t>Fair Work Ombudsman</w:t>
      </w:r>
    </w:p>
    <w:p w14:paraId="57DAA1DC" w14:textId="77777777" w:rsidR="00EA7FA0" w:rsidRPr="001A26C8" w:rsidRDefault="00EA7FA0" w:rsidP="00EA7FA0">
      <w:pPr>
        <w:pStyle w:val="NumberedList"/>
      </w:pPr>
      <w:r>
        <w:t xml:space="preserve">GetAboutAble </w:t>
      </w:r>
    </w:p>
    <w:p w14:paraId="79805667" w14:textId="77777777" w:rsidR="00EA7FA0" w:rsidRPr="001A26C8" w:rsidRDefault="00EA7FA0" w:rsidP="00EA7FA0">
      <w:pPr>
        <w:pStyle w:val="NumberedList"/>
      </w:pPr>
      <w:r>
        <w:t>National Emergency Management Agency</w:t>
      </w:r>
    </w:p>
    <w:p w14:paraId="4B7F9352" w14:textId="77777777" w:rsidR="00EA7FA0" w:rsidRPr="001A26C8" w:rsidRDefault="00EA7FA0" w:rsidP="00EA7FA0">
      <w:pPr>
        <w:pStyle w:val="NumberedList"/>
      </w:pPr>
      <w:r>
        <w:t>National Indigenous Australians Agency</w:t>
      </w:r>
    </w:p>
    <w:p w14:paraId="78438BD3" w14:textId="77777777" w:rsidR="00EA7FA0" w:rsidRPr="001A26C8" w:rsidRDefault="00EA7FA0" w:rsidP="00EA7FA0">
      <w:pPr>
        <w:pStyle w:val="NumberedList"/>
      </w:pPr>
      <w:r>
        <w:t xml:space="preserve">Queensland First Nations Tourism Council </w:t>
      </w:r>
    </w:p>
    <w:p w14:paraId="52581217" w14:textId="77777777" w:rsidR="00EA7FA0" w:rsidRPr="001A26C8" w:rsidRDefault="00EA7FA0" w:rsidP="00EA7FA0">
      <w:pPr>
        <w:pStyle w:val="NumberedList"/>
      </w:pPr>
      <w:r>
        <w:t>Safe Work Australia</w:t>
      </w:r>
    </w:p>
    <w:p w14:paraId="17BAE0B0" w14:textId="77777777" w:rsidR="00EA7FA0" w:rsidRPr="001A26C8" w:rsidRDefault="00EA7FA0" w:rsidP="00EA7FA0">
      <w:pPr>
        <w:pStyle w:val="NumberedList"/>
      </w:pPr>
      <w:r>
        <w:lastRenderedPageBreak/>
        <w:t>South Australian Tourism Commission</w:t>
      </w:r>
    </w:p>
    <w:p w14:paraId="774A7BBA" w14:textId="77777777" w:rsidR="00EA7FA0" w:rsidRPr="001A26C8" w:rsidRDefault="00EA7FA0" w:rsidP="00EA7FA0">
      <w:pPr>
        <w:pStyle w:val="NumberedList"/>
      </w:pPr>
      <w:r>
        <w:t>Tour Guides Australia</w:t>
      </w:r>
    </w:p>
    <w:p w14:paraId="7F798CD2" w14:textId="77777777" w:rsidR="00EA7FA0" w:rsidRPr="001A26C8" w:rsidRDefault="00EA7FA0" w:rsidP="00EA7FA0">
      <w:pPr>
        <w:pStyle w:val="NumberedList"/>
      </w:pPr>
      <w:r>
        <w:t>Tourism &amp; Transport Forum</w:t>
      </w:r>
    </w:p>
    <w:p w14:paraId="751C5709" w14:textId="77777777" w:rsidR="00EA7FA0" w:rsidRPr="001A26C8" w:rsidRDefault="00EA7FA0" w:rsidP="00EA7FA0">
      <w:pPr>
        <w:pStyle w:val="NumberedList"/>
      </w:pPr>
      <w:r>
        <w:t>Tourism Australia</w:t>
      </w:r>
    </w:p>
    <w:p w14:paraId="5B43F31F" w14:textId="77777777" w:rsidR="00EA7FA0" w:rsidRPr="001A26C8" w:rsidRDefault="00EA7FA0" w:rsidP="00EA7FA0">
      <w:pPr>
        <w:pStyle w:val="NumberedList"/>
      </w:pPr>
      <w:r>
        <w:t>Tourism Tasmania</w:t>
      </w:r>
    </w:p>
    <w:p w14:paraId="58D2DA08" w14:textId="77777777" w:rsidR="00EA7FA0" w:rsidRPr="001A26C8" w:rsidRDefault="00EA7FA0" w:rsidP="00EA7FA0">
      <w:pPr>
        <w:pStyle w:val="NumberedList"/>
      </w:pPr>
      <w:r>
        <w:t>Tourism Western Australia</w:t>
      </w:r>
    </w:p>
    <w:p w14:paraId="2C0342B8" w14:textId="77777777" w:rsidR="00EA7FA0" w:rsidRPr="001A26C8" w:rsidRDefault="00EA7FA0" w:rsidP="00EA7FA0">
      <w:pPr>
        <w:pStyle w:val="NumberedList"/>
      </w:pPr>
      <w:r>
        <w:t>VisitCanberra</w:t>
      </w:r>
    </w:p>
    <w:p w14:paraId="14235035" w14:textId="77777777" w:rsidR="00EA7FA0" w:rsidRPr="001A26C8" w:rsidRDefault="00EA7FA0" w:rsidP="00EA7FA0">
      <w:pPr>
        <w:pStyle w:val="NumberedList"/>
      </w:pPr>
      <w:r>
        <w:t>Visit Victoria</w:t>
      </w:r>
    </w:p>
    <w:p w14:paraId="29C8C00C" w14:textId="77777777" w:rsidR="00EA7FA0" w:rsidRDefault="00EA7FA0" w:rsidP="00EA7FA0">
      <w:pPr>
        <w:pStyle w:val="NumberedList"/>
      </w:pPr>
      <w:r>
        <w:t>Zoos and Aquarium Association</w:t>
      </w:r>
    </w:p>
    <w:p w14:paraId="45E6C397" w14:textId="3E739E82" w:rsidR="00E545DC" w:rsidRDefault="00E545DC" w:rsidP="00E545DC">
      <w:pPr>
        <w:pStyle w:val="NumberedList"/>
        <w:numPr>
          <w:ilvl w:val="0"/>
          <w:numId w:val="0"/>
        </w:numPr>
      </w:pPr>
    </w:p>
    <w:p w14:paraId="7CC80C9F" w14:textId="69D02DAF" w:rsidR="00E545DC" w:rsidRDefault="00E545DC" w:rsidP="00E545DC">
      <w:pPr>
        <w:pStyle w:val="NumberedList"/>
        <w:numPr>
          <w:ilvl w:val="0"/>
          <w:numId w:val="0"/>
        </w:numPr>
      </w:pPr>
    </w:p>
    <w:p w14:paraId="78C17B1A" w14:textId="78DAB8F3" w:rsidR="00E545DC" w:rsidRDefault="00E545DC" w:rsidP="00E545DC">
      <w:pPr>
        <w:pStyle w:val="NumberedList"/>
        <w:numPr>
          <w:ilvl w:val="0"/>
          <w:numId w:val="0"/>
        </w:numPr>
      </w:pPr>
    </w:p>
    <w:p w14:paraId="38469D07" w14:textId="77777777" w:rsidR="00E545DC" w:rsidRPr="00E545DC" w:rsidRDefault="00E545DC" w:rsidP="00E545DC">
      <w:pPr>
        <w:spacing w:before="0" w:after="160" w:line="259" w:lineRule="auto"/>
      </w:pPr>
      <w:r>
        <w:t> </w:t>
      </w:r>
    </w:p>
    <w:p w14:paraId="5B2E2205" w14:textId="6BD68C7C" w:rsidR="00E545DC" w:rsidRDefault="00E545DC" w:rsidP="00E545DC">
      <w:pPr>
        <w:pStyle w:val="NumberedList"/>
        <w:numPr>
          <w:ilvl w:val="0"/>
          <w:numId w:val="0"/>
        </w:numPr>
      </w:pPr>
    </w:p>
    <w:p w14:paraId="5D137F8E" w14:textId="77777777" w:rsidR="00D40B64" w:rsidRDefault="00D40B64" w:rsidP="00D40B64">
      <w:pPr>
        <w:pStyle w:val="NumberedList"/>
        <w:numPr>
          <w:ilvl w:val="0"/>
          <w:numId w:val="0"/>
        </w:numPr>
        <w:ind w:left="720" w:hanging="360"/>
      </w:pPr>
    </w:p>
    <w:p w14:paraId="76C249FC" w14:textId="77777777" w:rsidR="00D40B64" w:rsidRDefault="00D40B64" w:rsidP="00D40B64">
      <w:pPr>
        <w:pStyle w:val="NumberedList"/>
        <w:numPr>
          <w:ilvl w:val="0"/>
          <w:numId w:val="0"/>
        </w:numPr>
        <w:ind w:left="720" w:hanging="360"/>
      </w:pPr>
    </w:p>
    <w:p w14:paraId="29C08DB9" w14:textId="77777777" w:rsidR="00D40B64" w:rsidRDefault="00D40B64" w:rsidP="00D40B64">
      <w:pPr>
        <w:pStyle w:val="NumberedList"/>
        <w:numPr>
          <w:ilvl w:val="0"/>
          <w:numId w:val="0"/>
        </w:numPr>
        <w:ind w:left="720" w:hanging="360"/>
      </w:pPr>
    </w:p>
    <w:p w14:paraId="21D19AF0" w14:textId="77777777" w:rsidR="00D40B64" w:rsidRPr="001A26C8" w:rsidRDefault="00D40B64" w:rsidP="00D40B64">
      <w:pPr>
        <w:pStyle w:val="NumberedList"/>
        <w:numPr>
          <w:ilvl w:val="0"/>
          <w:numId w:val="0"/>
        </w:numPr>
        <w:ind w:left="720" w:hanging="360"/>
      </w:pPr>
    </w:p>
    <w:p w14:paraId="25C69AA2" w14:textId="77777777" w:rsidR="003F1DF3" w:rsidRPr="001A26C8" w:rsidRDefault="003F1DF3">
      <w:pPr>
        <w:tabs>
          <w:tab w:val="left" w:pos="1724"/>
        </w:tabs>
        <w:spacing w:line="276" w:lineRule="auto"/>
        <w:ind w:left="108"/>
      </w:pPr>
    </w:p>
    <w:p w14:paraId="16B9EAD0" w14:textId="77777777" w:rsidR="003C2C5B" w:rsidRPr="003C2C5B" w:rsidRDefault="003C2C5B" w:rsidP="003C2C5B"/>
    <w:p w14:paraId="37B0C1AA" w14:textId="77777777" w:rsidR="00B37585" w:rsidRPr="00E42C80" w:rsidRDefault="00B37585" w:rsidP="00E42C80"/>
    <w:p w14:paraId="50C302E4" w14:textId="41C7ADE7" w:rsidR="008F4113" w:rsidRPr="002D30AA" w:rsidRDefault="008F4113" w:rsidP="002D30AA"/>
    <w:sectPr w:rsidR="008F4113" w:rsidRPr="002D30AA" w:rsidSect="00501469">
      <w:footerReference w:type="default" r:id="rId15"/>
      <w:headerReference w:type="first" r:id="rId16"/>
      <w:footerReference w:type="first" r:id="rId17"/>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1366" w14:textId="77777777" w:rsidR="00CF19AC" w:rsidRDefault="00CF19AC" w:rsidP="007B0021">
      <w:r>
        <w:separator/>
      </w:r>
    </w:p>
    <w:p w14:paraId="24282B64" w14:textId="77777777" w:rsidR="00CF19AC" w:rsidRDefault="00CF19AC" w:rsidP="007B0021"/>
  </w:endnote>
  <w:endnote w:type="continuationSeparator" w:id="0">
    <w:p w14:paraId="3066078B" w14:textId="77777777" w:rsidR="00CF19AC" w:rsidRDefault="00CF19AC" w:rsidP="007B0021">
      <w:r>
        <w:continuationSeparator/>
      </w:r>
    </w:p>
    <w:p w14:paraId="553C337D" w14:textId="77777777" w:rsidR="00CF19AC" w:rsidRDefault="00CF19AC" w:rsidP="007B0021"/>
  </w:endnote>
  <w:endnote w:type="continuationNotice" w:id="1">
    <w:p w14:paraId="1427CBEE" w14:textId="77777777" w:rsidR="00CF19AC" w:rsidRDefault="00CF19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6493" w14:textId="120961D4" w:rsidR="00EF1835" w:rsidRDefault="00F849E6">
    <w:pPr>
      <w:pStyle w:val="Footer"/>
      <w:jc w:val="right"/>
    </w:pPr>
    <w:r>
      <w:t xml:space="preserve"> </w:t>
    </w:r>
    <w:sdt>
      <w:sdtPr>
        <w:id w:val="-460731937"/>
        <w:docPartObj>
          <w:docPartGallery w:val="Page Numbers (Bottom of Page)"/>
          <w:docPartUnique/>
        </w:docPartObj>
      </w:sdtPr>
      <w:sdtEndPr>
        <w:rPr>
          <w:noProof/>
        </w:rPr>
      </w:sdtEndPr>
      <w:sdtContent>
        <w:r w:rsidR="00EF1835">
          <w:fldChar w:fldCharType="begin"/>
        </w:r>
        <w:r w:rsidR="00EF1835">
          <w:instrText xml:space="preserve"> PAGE   \* MERGEFORMAT </w:instrText>
        </w:r>
        <w:r w:rsidR="00EF1835">
          <w:fldChar w:fldCharType="separate"/>
        </w:r>
        <w:r w:rsidR="00EF1835">
          <w:rPr>
            <w:noProof/>
          </w:rPr>
          <w:t>2</w:t>
        </w:r>
        <w:r w:rsidR="00EF183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82B1" w14:textId="18F8FA37" w:rsidR="003E60F9" w:rsidRDefault="002E2141" w:rsidP="00F849E6">
    <w:pPr>
      <w:pStyle w:val="Footer"/>
      <w:spacing w:line="240" w:lineRule="auto"/>
    </w:pPr>
    <w:r>
      <w:t>Last updated: 13</w:t>
    </w:r>
    <w:r w:rsidR="00DE289B">
      <w:t>/07/2023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B721" w14:textId="77777777" w:rsidR="00CF19AC" w:rsidRDefault="00CF19AC" w:rsidP="007B0021">
      <w:r>
        <w:separator/>
      </w:r>
    </w:p>
    <w:p w14:paraId="345435D2" w14:textId="77777777" w:rsidR="00CF19AC" w:rsidRDefault="00CF19AC" w:rsidP="007B0021"/>
  </w:footnote>
  <w:footnote w:type="continuationSeparator" w:id="0">
    <w:p w14:paraId="5806C825" w14:textId="77777777" w:rsidR="00CF19AC" w:rsidRDefault="00CF19AC" w:rsidP="007B0021">
      <w:r>
        <w:continuationSeparator/>
      </w:r>
    </w:p>
    <w:p w14:paraId="17391FB7" w14:textId="77777777" w:rsidR="00CF19AC" w:rsidRDefault="00CF19AC" w:rsidP="007B0021"/>
  </w:footnote>
  <w:footnote w:type="continuationNotice" w:id="1">
    <w:p w14:paraId="78CFE381" w14:textId="77777777" w:rsidR="00CF19AC" w:rsidRDefault="00CF19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8B0A" w14:textId="77777777" w:rsidR="003A58AB" w:rsidRDefault="003A58AB" w:rsidP="007B0021">
    <w:pPr>
      <w:pStyle w:val="Header"/>
    </w:pPr>
  </w:p>
  <w:p w14:paraId="743FD09A" w14:textId="77777777" w:rsidR="003A58AB" w:rsidRDefault="003A58AB" w:rsidP="007B0021">
    <w:r>
      <w:rPr>
        <w:noProof/>
        <w:lang w:eastAsia="en-AU"/>
      </w:rPr>
      <w:drawing>
        <wp:anchor distT="0" distB="0" distL="114300" distR="114300" simplePos="0" relativeHeight="251658240" behindDoc="0" locked="0" layoutInCell="1" allowOverlap="1" wp14:anchorId="39FBF88B" wp14:editId="127ACCA2">
          <wp:simplePos x="0" y="0"/>
          <wp:positionH relativeFrom="column">
            <wp:posOffset>3971925</wp:posOffset>
          </wp:positionH>
          <wp:positionV relativeFrom="margin">
            <wp:posOffset>-410210</wp:posOffset>
          </wp:positionV>
          <wp:extent cx="2276475" cy="238760"/>
          <wp:effectExtent l="0" t="0" r="9525"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23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15CDF"/>
    <w:multiLevelType w:val="hybridMultilevel"/>
    <w:tmpl w:val="677C9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3" w15:restartNumberingAfterBreak="0">
    <w:nsid w:val="4D643664"/>
    <w:multiLevelType w:val="hybridMultilevel"/>
    <w:tmpl w:val="FA44B1D2"/>
    <w:lvl w:ilvl="0" w:tplc="99E46138">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6ADD6D4B"/>
    <w:multiLevelType w:val="hybridMultilevel"/>
    <w:tmpl w:val="49C8D414"/>
    <w:lvl w:ilvl="0" w:tplc="818416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2136438151">
    <w:abstractNumId w:val="2"/>
  </w:num>
  <w:num w:numId="2" w16cid:durableId="624585942">
    <w:abstractNumId w:val="3"/>
  </w:num>
  <w:num w:numId="3" w16cid:durableId="979458139">
    <w:abstractNumId w:val="3"/>
    <w:lvlOverride w:ilvl="0">
      <w:startOverride w:val="1"/>
    </w:lvlOverride>
  </w:num>
  <w:num w:numId="4" w16cid:durableId="989947669">
    <w:abstractNumId w:val="3"/>
    <w:lvlOverride w:ilvl="0">
      <w:startOverride w:val="1"/>
    </w:lvlOverride>
  </w:num>
  <w:num w:numId="5" w16cid:durableId="1616987377">
    <w:abstractNumId w:val="3"/>
    <w:lvlOverride w:ilvl="0">
      <w:startOverride w:val="1"/>
    </w:lvlOverride>
  </w:num>
  <w:num w:numId="6" w16cid:durableId="1273441710">
    <w:abstractNumId w:val="0"/>
  </w:num>
  <w:num w:numId="7" w16cid:durableId="1572617661">
    <w:abstractNumId w:val="6"/>
  </w:num>
  <w:num w:numId="8" w16cid:durableId="184488372">
    <w:abstractNumId w:val="4"/>
  </w:num>
  <w:num w:numId="9" w16cid:durableId="405734738">
    <w:abstractNumId w:val="5"/>
  </w:num>
  <w:num w:numId="10" w16cid:durableId="420835596">
    <w:abstractNumId w:val="3"/>
    <w:lvlOverride w:ilvl="0">
      <w:startOverride w:val="1"/>
    </w:lvlOverride>
  </w:num>
  <w:num w:numId="11" w16cid:durableId="1164277263">
    <w:abstractNumId w:val="3"/>
    <w:lvlOverride w:ilvl="0">
      <w:startOverride w:val="1"/>
    </w:lvlOverride>
  </w:num>
  <w:num w:numId="12" w16cid:durableId="1823428121">
    <w:abstractNumId w:val="3"/>
    <w:lvlOverride w:ilvl="0">
      <w:startOverride w:val="1"/>
    </w:lvlOverride>
  </w:num>
  <w:num w:numId="13" w16cid:durableId="2139030555">
    <w:abstractNumId w:val="3"/>
    <w:lvlOverride w:ilvl="0">
      <w:startOverride w:val="1"/>
    </w:lvlOverride>
  </w:num>
  <w:num w:numId="14" w16cid:durableId="243493405">
    <w:abstractNumId w:val="3"/>
    <w:lvlOverride w:ilvl="0">
      <w:startOverride w:val="1"/>
    </w:lvlOverride>
  </w:num>
  <w:num w:numId="15" w16cid:durableId="2014212888">
    <w:abstractNumId w:val="3"/>
    <w:lvlOverride w:ilvl="0">
      <w:startOverride w:val="1"/>
    </w:lvlOverride>
  </w:num>
  <w:num w:numId="16" w16cid:durableId="177432958">
    <w:abstractNumId w:val="3"/>
    <w:lvlOverride w:ilvl="0">
      <w:startOverride w:val="1"/>
    </w:lvlOverride>
  </w:num>
  <w:num w:numId="17" w16cid:durableId="1460416154">
    <w:abstractNumId w:val="3"/>
    <w:lvlOverride w:ilvl="0">
      <w:startOverride w:val="1"/>
    </w:lvlOverride>
  </w:num>
  <w:num w:numId="18" w16cid:durableId="2083797956">
    <w:abstractNumId w:val="3"/>
    <w:lvlOverride w:ilvl="0">
      <w:startOverride w:val="1"/>
    </w:lvlOverride>
  </w:num>
  <w:num w:numId="19" w16cid:durableId="933320344">
    <w:abstractNumId w:val="3"/>
    <w:lvlOverride w:ilvl="0">
      <w:startOverride w:val="1"/>
    </w:lvlOverride>
  </w:num>
  <w:num w:numId="20" w16cid:durableId="1146356158">
    <w:abstractNumId w:val="3"/>
    <w:lvlOverride w:ilvl="0">
      <w:startOverride w:val="1"/>
    </w:lvlOverride>
  </w:num>
  <w:num w:numId="21" w16cid:durableId="1290939893">
    <w:abstractNumId w:val="3"/>
    <w:lvlOverride w:ilvl="0">
      <w:startOverride w:val="1"/>
    </w:lvlOverride>
  </w:num>
  <w:num w:numId="22" w16cid:durableId="511408897">
    <w:abstractNumId w:val="3"/>
    <w:lvlOverride w:ilvl="0">
      <w:startOverride w:val="1"/>
    </w:lvlOverride>
  </w:num>
  <w:num w:numId="23" w16cid:durableId="371419735">
    <w:abstractNumId w:val="3"/>
    <w:lvlOverride w:ilvl="0">
      <w:startOverride w:val="1"/>
    </w:lvlOverride>
  </w:num>
  <w:num w:numId="24" w16cid:durableId="211578060">
    <w:abstractNumId w:val="3"/>
    <w:lvlOverride w:ilvl="0">
      <w:startOverride w:val="1"/>
    </w:lvlOverride>
  </w:num>
  <w:num w:numId="25" w16cid:durableId="226303131">
    <w:abstractNumId w:val="3"/>
    <w:lvlOverride w:ilvl="0">
      <w:startOverride w:val="1"/>
    </w:lvlOverride>
  </w:num>
  <w:num w:numId="26" w16cid:durableId="1913813965">
    <w:abstractNumId w:val="3"/>
    <w:lvlOverride w:ilvl="0">
      <w:startOverride w:val="1"/>
    </w:lvlOverride>
  </w:num>
  <w:num w:numId="27" w16cid:durableId="80953081">
    <w:abstractNumId w:val="1"/>
  </w:num>
  <w:num w:numId="28" w16cid:durableId="492111241">
    <w:abstractNumId w:val="3"/>
    <w:lvlOverride w:ilvl="0">
      <w:startOverride w:val="1"/>
    </w:lvlOverride>
  </w:num>
  <w:num w:numId="29" w16cid:durableId="1855144411">
    <w:abstractNumId w:val="3"/>
  </w:num>
  <w:num w:numId="30" w16cid:durableId="527304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BE"/>
    <w:rsid w:val="00002CE1"/>
    <w:rsid w:val="000079CE"/>
    <w:rsid w:val="0001168E"/>
    <w:rsid w:val="000124FE"/>
    <w:rsid w:val="00046C25"/>
    <w:rsid w:val="00047537"/>
    <w:rsid w:val="000614DA"/>
    <w:rsid w:val="00065E1C"/>
    <w:rsid w:val="000A2377"/>
    <w:rsid w:val="000B33BE"/>
    <w:rsid w:val="000C16EC"/>
    <w:rsid w:val="000C2E30"/>
    <w:rsid w:val="000C50BC"/>
    <w:rsid w:val="000D173C"/>
    <w:rsid w:val="000D2B8A"/>
    <w:rsid w:val="000E28B2"/>
    <w:rsid w:val="000E5763"/>
    <w:rsid w:val="000E7E86"/>
    <w:rsid w:val="000F0CFB"/>
    <w:rsid w:val="00100607"/>
    <w:rsid w:val="00100802"/>
    <w:rsid w:val="00104D90"/>
    <w:rsid w:val="00117092"/>
    <w:rsid w:val="001209A0"/>
    <w:rsid w:val="00121209"/>
    <w:rsid w:val="00122777"/>
    <w:rsid w:val="0012425F"/>
    <w:rsid w:val="00126BBE"/>
    <w:rsid w:val="0014797E"/>
    <w:rsid w:val="00147D40"/>
    <w:rsid w:val="001551F3"/>
    <w:rsid w:val="001552F7"/>
    <w:rsid w:val="0015737A"/>
    <w:rsid w:val="00166518"/>
    <w:rsid w:val="001666BA"/>
    <w:rsid w:val="00171A4B"/>
    <w:rsid w:val="00191835"/>
    <w:rsid w:val="001A21B8"/>
    <w:rsid w:val="001D6F6A"/>
    <w:rsid w:val="001E186F"/>
    <w:rsid w:val="001F5E56"/>
    <w:rsid w:val="00202BDB"/>
    <w:rsid w:val="002167B4"/>
    <w:rsid w:val="00240582"/>
    <w:rsid w:val="00242167"/>
    <w:rsid w:val="00245342"/>
    <w:rsid w:val="00245E86"/>
    <w:rsid w:val="00253226"/>
    <w:rsid w:val="00253231"/>
    <w:rsid w:val="00256634"/>
    <w:rsid w:val="00257C7E"/>
    <w:rsid w:val="00260131"/>
    <w:rsid w:val="00261993"/>
    <w:rsid w:val="00261F28"/>
    <w:rsid w:val="00264476"/>
    <w:rsid w:val="002749C0"/>
    <w:rsid w:val="0028075F"/>
    <w:rsid w:val="0028112D"/>
    <w:rsid w:val="00282C92"/>
    <w:rsid w:val="0028696F"/>
    <w:rsid w:val="002910E1"/>
    <w:rsid w:val="0029395B"/>
    <w:rsid w:val="002A26B5"/>
    <w:rsid w:val="002A2EF9"/>
    <w:rsid w:val="002A484E"/>
    <w:rsid w:val="002A5EE5"/>
    <w:rsid w:val="002A6E9C"/>
    <w:rsid w:val="002A7059"/>
    <w:rsid w:val="002C1F51"/>
    <w:rsid w:val="002D30AA"/>
    <w:rsid w:val="002E2141"/>
    <w:rsid w:val="002E309C"/>
    <w:rsid w:val="002E32FB"/>
    <w:rsid w:val="002F5730"/>
    <w:rsid w:val="00303076"/>
    <w:rsid w:val="00311DC9"/>
    <w:rsid w:val="00312A65"/>
    <w:rsid w:val="00314513"/>
    <w:rsid w:val="003207DE"/>
    <w:rsid w:val="00321E47"/>
    <w:rsid w:val="00324AE6"/>
    <w:rsid w:val="00325D70"/>
    <w:rsid w:val="00326B31"/>
    <w:rsid w:val="003400B4"/>
    <w:rsid w:val="00345AB1"/>
    <w:rsid w:val="00365AF7"/>
    <w:rsid w:val="003772FB"/>
    <w:rsid w:val="0038115B"/>
    <w:rsid w:val="00390F9A"/>
    <w:rsid w:val="003940FE"/>
    <w:rsid w:val="003A1957"/>
    <w:rsid w:val="003A58AB"/>
    <w:rsid w:val="003B28C0"/>
    <w:rsid w:val="003C2C5B"/>
    <w:rsid w:val="003C3946"/>
    <w:rsid w:val="003C3B0A"/>
    <w:rsid w:val="003C5DDF"/>
    <w:rsid w:val="003D028C"/>
    <w:rsid w:val="003D0704"/>
    <w:rsid w:val="003D65E7"/>
    <w:rsid w:val="003E1EDD"/>
    <w:rsid w:val="003E38E3"/>
    <w:rsid w:val="003E458D"/>
    <w:rsid w:val="003E5497"/>
    <w:rsid w:val="003E60F9"/>
    <w:rsid w:val="003F1DF3"/>
    <w:rsid w:val="003F3CC5"/>
    <w:rsid w:val="003F6F1F"/>
    <w:rsid w:val="00401EF2"/>
    <w:rsid w:val="00403086"/>
    <w:rsid w:val="00406A0B"/>
    <w:rsid w:val="00415AAF"/>
    <w:rsid w:val="00421AA2"/>
    <w:rsid w:val="00427C19"/>
    <w:rsid w:val="0043062E"/>
    <w:rsid w:val="00442726"/>
    <w:rsid w:val="004430A8"/>
    <w:rsid w:val="004455F5"/>
    <w:rsid w:val="00446C9C"/>
    <w:rsid w:val="0045192E"/>
    <w:rsid w:val="00456DDB"/>
    <w:rsid w:val="00460A41"/>
    <w:rsid w:val="00462A6C"/>
    <w:rsid w:val="00463AD2"/>
    <w:rsid w:val="00465997"/>
    <w:rsid w:val="00471DFC"/>
    <w:rsid w:val="00473CAE"/>
    <w:rsid w:val="004767E6"/>
    <w:rsid w:val="00477502"/>
    <w:rsid w:val="00481E90"/>
    <w:rsid w:val="00495A89"/>
    <w:rsid w:val="004A09A2"/>
    <w:rsid w:val="004B0148"/>
    <w:rsid w:val="004B2654"/>
    <w:rsid w:val="004B6658"/>
    <w:rsid w:val="004C442B"/>
    <w:rsid w:val="004C6441"/>
    <w:rsid w:val="004D06AF"/>
    <w:rsid w:val="004D6B40"/>
    <w:rsid w:val="004D6B64"/>
    <w:rsid w:val="004D6F59"/>
    <w:rsid w:val="004F78AB"/>
    <w:rsid w:val="004F7EEA"/>
    <w:rsid w:val="004F7F64"/>
    <w:rsid w:val="005006AB"/>
    <w:rsid w:val="00501469"/>
    <w:rsid w:val="0050539F"/>
    <w:rsid w:val="00505A32"/>
    <w:rsid w:val="005138B0"/>
    <w:rsid w:val="00525D4E"/>
    <w:rsid w:val="00534C61"/>
    <w:rsid w:val="00555BF2"/>
    <w:rsid w:val="00571BDC"/>
    <w:rsid w:val="0058499A"/>
    <w:rsid w:val="00584FDA"/>
    <w:rsid w:val="00585F37"/>
    <w:rsid w:val="005925D9"/>
    <w:rsid w:val="00593F24"/>
    <w:rsid w:val="005967EC"/>
    <w:rsid w:val="005A1A0E"/>
    <w:rsid w:val="005A4F7C"/>
    <w:rsid w:val="005A4FB2"/>
    <w:rsid w:val="005B2A64"/>
    <w:rsid w:val="005B2AA9"/>
    <w:rsid w:val="005B661E"/>
    <w:rsid w:val="005C4DEA"/>
    <w:rsid w:val="005C61A4"/>
    <w:rsid w:val="005D3E5E"/>
    <w:rsid w:val="005E419F"/>
    <w:rsid w:val="005E53AB"/>
    <w:rsid w:val="005F352D"/>
    <w:rsid w:val="006037BD"/>
    <w:rsid w:val="006126CB"/>
    <w:rsid w:val="00625228"/>
    <w:rsid w:val="006326D2"/>
    <w:rsid w:val="00635DC0"/>
    <w:rsid w:val="00637AC4"/>
    <w:rsid w:val="006414CC"/>
    <w:rsid w:val="00642AF8"/>
    <w:rsid w:val="00642FAC"/>
    <w:rsid w:val="0065148D"/>
    <w:rsid w:val="006518FE"/>
    <w:rsid w:val="0065770C"/>
    <w:rsid w:val="00661295"/>
    <w:rsid w:val="00662F6C"/>
    <w:rsid w:val="0067717C"/>
    <w:rsid w:val="006935FE"/>
    <w:rsid w:val="00694AAD"/>
    <w:rsid w:val="006969E3"/>
    <w:rsid w:val="00696F9E"/>
    <w:rsid w:val="006A486C"/>
    <w:rsid w:val="006A4973"/>
    <w:rsid w:val="006A7A2E"/>
    <w:rsid w:val="006B6B3F"/>
    <w:rsid w:val="006B778B"/>
    <w:rsid w:val="006C3DDC"/>
    <w:rsid w:val="006C698E"/>
    <w:rsid w:val="006C763A"/>
    <w:rsid w:val="006D4784"/>
    <w:rsid w:val="006E5730"/>
    <w:rsid w:val="006F1FA9"/>
    <w:rsid w:val="006F272A"/>
    <w:rsid w:val="006F4040"/>
    <w:rsid w:val="006F7525"/>
    <w:rsid w:val="007047A1"/>
    <w:rsid w:val="00722871"/>
    <w:rsid w:val="00735B20"/>
    <w:rsid w:val="00735CC6"/>
    <w:rsid w:val="00756ADB"/>
    <w:rsid w:val="0077067F"/>
    <w:rsid w:val="00770985"/>
    <w:rsid w:val="00774485"/>
    <w:rsid w:val="0078206A"/>
    <w:rsid w:val="00783019"/>
    <w:rsid w:val="0078435A"/>
    <w:rsid w:val="007845A6"/>
    <w:rsid w:val="00794655"/>
    <w:rsid w:val="007A0FC3"/>
    <w:rsid w:val="007A6316"/>
    <w:rsid w:val="007A6F90"/>
    <w:rsid w:val="007B0021"/>
    <w:rsid w:val="007B2D73"/>
    <w:rsid w:val="007C4113"/>
    <w:rsid w:val="007D00C9"/>
    <w:rsid w:val="007E3420"/>
    <w:rsid w:val="007E3CB4"/>
    <w:rsid w:val="0080375F"/>
    <w:rsid w:val="00811E30"/>
    <w:rsid w:val="00831BED"/>
    <w:rsid w:val="00831EBD"/>
    <w:rsid w:val="008407EC"/>
    <w:rsid w:val="00846D20"/>
    <w:rsid w:val="008514EC"/>
    <w:rsid w:val="00852410"/>
    <w:rsid w:val="00856403"/>
    <w:rsid w:val="00857A0A"/>
    <w:rsid w:val="00860FCC"/>
    <w:rsid w:val="00865233"/>
    <w:rsid w:val="0087451A"/>
    <w:rsid w:val="00877D9B"/>
    <w:rsid w:val="00880118"/>
    <w:rsid w:val="00891B5C"/>
    <w:rsid w:val="0089392B"/>
    <w:rsid w:val="008950F9"/>
    <w:rsid w:val="008A10E8"/>
    <w:rsid w:val="008A5356"/>
    <w:rsid w:val="008A7FEC"/>
    <w:rsid w:val="008B0FFD"/>
    <w:rsid w:val="008B2036"/>
    <w:rsid w:val="008B6033"/>
    <w:rsid w:val="008B6EB2"/>
    <w:rsid w:val="008D05AC"/>
    <w:rsid w:val="008D2D14"/>
    <w:rsid w:val="008E0D47"/>
    <w:rsid w:val="008F0004"/>
    <w:rsid w:val="008F4113"/>
    <w:rsid w:val="008F4FD7"/>
    <w:rsid w:val="00904581"/>
    <w:rsid w:val="00910C53"/>
    <w:rsid w:val="00916110"/>
    <w:rsid w:val="009168E1"/>
    <w:rsid w:val="00921435"/>
    <w:rsid w:val="0092648B"/>
    <w:rsid w:val="0093126A"/>
    <w:rsid w:val="009406E7"/>
    <w:rsid w:val="009414BC"/>
    <w:rsid w:val="00941778"/>
    <w:rsid w:val="0094463A"/>
    <w:rsid w:val="00945736"/>
    <w:rsid w:val="009522E3"/>
    <w:rsid w:val="00953D03"/>
    <w:rsid w:val="00953F02"/>
    <w:rsid w:val="00962553"/>
    <w:rsid w:val="0096640D"/>
    <w:rsid w:val="00971327"/>
    <w:rsid w:val="009735A2"/>
    <w:rsid w:val="00980F87"/>
    <w:rsid w:val="0098379B"/>
    <w:rsid w:val="00996B27"/>
    <w:rsid w:val="00997F09"/>
    <w:rsid w:val="009A08F2"/>
    <w:rsid w:val="009A4590"/>
    <w:rsid w:val="009A4CF8"/>
    <w:rsid w:val="009B01CD"/>
    <w:rsid w:val="009B79C9"/>
    <w:rsid w:val="009C2516"/>
    <w:rsid w:val="009C68B8"/>
    <w:rsid w:val="009D6B24"/>
    <w:rsid w:val="009D70B3"/>
    <w:rsid w:val="009E1D4B"/>
    <w:rsid w:val="009E2370"/>
    <w:rsid w:val="009E4773"/>
    <w:rsid w:val="009E4D4E"/>
    <w:rsid w:val="00A00806"/>
    <w:rsid w:val="00A0374C"/>
    <w:rsid w:val="00A041A9"/>
    <w:rsid w:val="00A0599E"/>
    <w:rsid w:val="00A06E10"/>
    <w:rsid w:val="00A171D1"/>
    <w:rsid w:val="00A17808"/>
    <w:rsid w:val="00A235C1"/>
    <w:rsid w:val="00A4008B"/>
    <w:rsid w:val="00A41898"/>
    <w:rsid w:val="00A44F06"/>
    <w:rsid w:val="00A47608"/>
    <w:rsid w:val="00A60E82"/>
    <w:rsid w:val="00A84972"/>
    <w:rsid w:val="00A938FE"/>
    <w:rsid w:val="00A96A06"/>
    <w:rsid w:val="00AA2AAA"/>
    <w:rsid w:val="00AB4AED"/>
    <w:rsid w:val="00AB5BD3"/>
    <w:rsid w:val="00AC0F96"/>
    <w:rsid w:val="00AC6A14"/>
    <w:rsid w:val="00AD5D8E"/>
    <w:rsid w:val="00AD67FE"/>
    <w:rsid w:val="00AE3D08"/>
    <w:rsid w:val="00AF2889"/>
    <w:rsid w:val="00AF3766"/>
    <w:rsid w:val="00B0109F"/>
    <w:rsid w:val="00B029B2"/>
    <w:rsid w:val="00B051E8"/>
    <w:rsid w:val="00B061C3"/>
    <w:rsid w:val="00B12330"/>
    <w:rsid w:val="00B25B17"/>
    <w:rsid w:val="00B304F4"/>
    <w:rsid w:val="00B37585"/>
    <w:rsid w:val="00B445A3"/>
    <w:rsid w:val="00B54801"/>
    <w:rsid w:val="00B60A0B"/>
    <w:rsid w:val="00B76F42"/>
    <w:rsid w:val="00B81E6C"/>
    <w:rsid w:val="00B872C3"/>
    <w:rsid w:val="00B96CEF"/>
    <w:rsid w:val="00BA0ADB"/>
    <w:rsid w:val="00BB1867"/>
    <w:rsid w:val="00BB1C2F"/>
    <w:rsid w:val="00BB5062"/>
    <w:rsid w:val="00BB5748"/>
    <w:rsid w:val="00BD4A72"/>
    <w:rsid w:val="00BD605D"/>
    <w:rsid w:val="00BD612E"/>
    <w:rsid w:val="00BE1C64"/>
    <w:rsid w:val="00BE34AA"/>
    <w:rsid w:val="00BF041A"/>
    <w:rsid w:val="00BF0F1B"/>
    <w:rsid w:val="00C06C20"/>
    <w:rsid w:val="00C22D78"/>
    <w:rsid w:val="00C279D9"/>
    <w:rsid w:val="00C3141D"/>
    <w:rsid w:val="00C326A0"/>
    <w:rsid w:val="00C32863"/>
    <w:rsid w:val="00C358E2"/>
    <w:rsid w:val="00C426FF"/>
    <w:rsid w:val="00C450A4"/>
    <w:rsid w:val="00C5405E"/>
    <w:rsid w:val="00C62C9B"/>
    <w:rsid w:val="00C66235"/>
    <w:rsid w:val="00C92CD2"/>
    <w:rsid w:val="00CA4B5C"/>
    <w:rsid w:val="00CA77C2"/>
    <w:rsid w:val="00CB2C46"/>
    <w:rsid w:val="00CB3E27"/>
    <w:rsid w:val="00CC0065"/>
    <w:rsid w:val="00CC2186"/>
    <w:rsid w:val="00CD0CE5"/>
    <w:rsid w:val="00CD1AB6"/>
    <w:rsid w:val="00CD1BE3"/>
    <w:rsid w:val="00CD22D4"/>
    <w:rsid w:val="00CE3895"/>
    <w:rsid w:val="00CE5560"/>
    <w:rsid w:val="00CE5AD7"/>
    <w:rsid w:val="00CF19AC"/>
    <w:rsid w:val="00CF4F9D"/>
    <w:rsid w:val="00D22783"/>
    <w:rsid w:val="00D32596"/>
    <w:rsid w:val="00D40A57"/>
    <w:rsid w:val="00D40B64"/>
    <w:rsid w:val="00D53DE3"/>
    <w:rsid w:val="00D54042"/>
    <w:rsid w:val="00D5657E"/>
    <w:rsid w:val="00D654C4"/>
    <w:rsid w:val="00D6556F"/>
    <w:rsid w:val="00D6624B"/>
    <w:rsid w:val="00D76AE4"/>
    <w:rsid w:val="00D8066D"/>
    <w:rsid w:val="00D80B10"/>
    <w:rsid w:val="00D8599A"/>
    <w:rsid w:val="00D86523"/>
    <w:rsid w:val="00D871C3"/>
    <w:rsid w:val="00D93830"/>
    <w:rsid w:val="00DB21A7"/>
    <w:rsid w:val="00DB6729"/>
    <w:rsid w:val="00DC3D13"/>
    <w:rsid w:val="00DD4B70"/>
    <w:rsid w:val="00DD4D02"/>
    <w:rsid w:val="00DD5E94"/>
    <w:rsid w:val="00DE0819"/>
    <w:rsid w:val="00DE289B"/>
    <w:rsid w:val="00DE31B4"/>
    <w:rsid w:val="00DE6021"/>
    <w:rsid w:val="00DF26FB"/>
    <w:rsid w:val="00E00BA3"/>
    <w:rsid w:val="00E13D00"/>
    <w:rsid w:val="00E15B64"/>
    <w:rsid w:val="00E16567"/>
    <w:rsid w:val="00E20223"/>
    <w:rsid w:val="00E24D12"/>
    <w:rsid w:val="00E264D6"/>
    <w:rsid w:val="00E332CB"/>
    <w:rsid w:val="00E407E7"/>
    <w:rsid w:val="00E42C80"/>
    <w:rsid w:val="00E430D6"/>
    <w:rsid w:val="00E44EEC"/>
    <w:rsid w:val="00E47A83"/>
    <w:rsid w:val="00E47C72"/>
    <w:rsid w:val="00E5282B"/>
    <w:rsid w:val="00E54180"/>
    <w:rsid w:val="00E545DC"/>
    <w:rsid w:val="00E568D9"/>
    <w:rsid w:val="00E66EE7"/>
    <w:rsid w:val="00E703F2"/>
    <w:rsid w:val="00E77EA7"/>
    <w:rsid w:val="00E902C6"/>
    <w:rsid w:val="00E90380"/>
    <w:rsid w:val="00E97491"/>
    <w:rsid w:val="00EA11C9"/>
    <w:rsid w:val="00EA272C"/>
    <w:rsid w:val="00EA4240"/>
    <w:rsid w:val="00EA44F7"/>
    <w:rsid w:val="00EA7FA0"/>
    <w:rsid w:val="00EB3718"/>
    <w:rsid w:val="00EC086B"/>
    <w:rsid w:val="00EC305A"/>
    <w:rsid w:val="00ED3BEF"/>
    <w:rsid w:val="00EE05FC"/>
    <w:rsid w:val="00EE4027"/>
    <w:rsid w:val="00EE6EE7"/>
    <w:rsid w:val="00EF1835"/>
    <w:rsid w:val="00EF2705"/>
    <w:rsid w:val="00F0655E"/>
    <w:rsid w:val="00F10394"/>
    <w:rsid w:val="00F23FEC"/>
    <w:rsid w:val="00F246B1"/>
    <w:rsid w:val="00F3130D"/>
    <w:rsid w:val="00F34B6D"/>
    <w:rsid w:val="00F45A2B"/>
    <w:rsid w:val="00F46B16"/>
    <w:rsid w:val="00F50E3E"/>
    <w:rsid w:val="00F510E4"/>
    <w:rsid w:val="00F559F6"/>
    <w:rsid w:val="00F55D87"/>
    <w:rsid w:val="00F65113"/>
    <w:rsid w:val="00F70931"/>
    <w:rsid w:val="00F802CA"/>
    <w:rsid w:val="00F849E6"/>
    <w:rsid w:val="00F85A20"/>
    <w:rsid w:val="00F9138E"/>
    <w:rsid w:val="00F9423F"/>
    <w:rsid w:val="00F97D50"/>
    <w:rsid w:val="00FA16E7"/>
    <w:rsid w:val="00FA7043"/>
    <w:rsid w:val="00FB2A95"/>
    <w:rsid w:val="00FB606A"/>
    <w:rsid w:val="00FB791D"/>
    <w:rsid w:val="00FC0B4B"/>
    <w:rsid w:val="00FC0CAB"/>
    <w:rsid w:val="00FC1ABB"/>
    <w:rsid w:val="00FD6F93"/>
    <w:rsid w:val="00FE0518"/>
    <w:rsid w:val="057E758D"/>
    <w:rsid w:val="0E3E962B"/>
    <w:rsid w:val="17DF9E56"/>
    <w:rsid w:val="1ACAC045"/>
    <w:rsid w:val="263AC8E8"/>
    <w:rsid w:val="36C5519C"/>
    <w:rsid w:val="3E6A1E66"/>
    <w:rsid w:val="43917C5B"/>
    <w:rsid w:val="46E42C73"/>
    <w:rsid w:val="59028473"/>
    <w:rsid w:val="5B716C6F"/>
    <w:rsid w:val="660CA920"/>
    <w:rsid w:val="6798E03E"/>
    <w:rsid w:val="6DA48ADA"/>
    <w:rsid w:val="7E5532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C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D40A57"/>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F35"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F35" w:themeColor="accent1"/>
      <w:sz w:val="68"/>
      <w:szCs w:val="6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F35" w:themeColor="accent1"/>
      <w:sz w:val="48"/>
      <w:szCs w:val="48"/>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ind w:left="1004" w:hanging="284"/>
    </w:pPr>
  </w:style>
  <w:style w:type="paragraph" w:customStyle="1" w:styleId="NumberedList">
    <w:name w:val="NumberedList"/>
    <w:basedOn w:val="ListParagraph"/>
    <w:qFormat/>
    <w:rsid w:val="00F23FEC"/>
    <w:pPr>
      <w:numPr>
        <w:numId w:val="2"/>
      </w:numPr>
      <w:spacing w:before="0"/>
    </w:pPr>
  </w:style>
  <w:style w:type="paragraph" w:styleId="Quote">
    <w:name w:val="Quote"/>
    <w:basedOn w:val="Normal"/>
    <w:next w:val="Normal"/>
    <w:link w:val="QuoteChar"/>
    <w:uiPriority w:val="29"/>
    <w:qFormat/>
    <w:rsid w:val="00FC1ABB"/>
    <w:pPr>
      <w:spacing w:after="240" w:line="380" w:lineRule="atLeast"/>
    </w:pPr>
    <w:rPr>
      <w:color w:val="173F35" w:themeColor="accent1"/>
      <w:sz w:val="28"/>
      <w:szCs w:val="28"/>
    </w:rPr>
  </w:style>
  <w:style w:type="character" w:customStyle="1" w:styleId="QuoteChar">
    <w:name w:val="Quote Char"/>
    <w:basedOn w:val="DefaultParagraphFont"/>
    <w:link w:val="Quote"/>
    <w:uiPriority w:val="29"/>
    <w:rsid w:val="00FC1ABB"/>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1"/>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rsid w:val="00F45A2B"/>
    <w:pPr>
      <w:spacing w:after="480" w:line="240" w:lineRule="auto"/>
    </w:pPr>
    <w:rPr>
      <w:color w:val="173F35"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173F35" w:themeColor="followedHyperlink"/>
      <w:u w:val="single"/>
    </w:rPr>
  </w:style>
  <w:style w:type="paragraph" w:styleId="Revision">
    <w:name w:val="Revision"/>
    <w:hidden/>
    <w:uiPriority w:val="99"/>
    <w:semiHidden/>
    <w:rsid w:val="00722871"/>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6B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Nation%20Brand\Nation%20Brand%20Website%20Publications.dotx" TargetMode="External"/></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393cc2-3c37-4544-b041-29172f73605b">
      <Terms xmlns="http://schemas.microsoft.com/office/infopath/2007/PartnerControls"/>
    </lcf76f155ced4ddcb4097134ff3c332f>
    <TaxCatchAll xmlns="ec2472de-ddbe-426b-b482-e7ddac910fb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6" ma:contentTypeDescription="Create a new document." ma:contentTypeScope="" ma:versionID="212bf57b342a48f2eb0a327d0a9c4034">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d706ff6e3281970f260ee1e1e787ddf1"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2f68e8-010b-4d0f-b50c-528e0d0fa449}"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75B8-1135-4512-93FA-FCDD832F13E7}">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95393cc2-3c37-4544-b041-29172f73605b"/>
    <ds:schemaRef ds:uri="http://purl.org/dc/elements/1.1/"/>
    <ds:schemaRef ds:uri="http://schemas.openxmlformats.org/package/2006/metadata/core-properties"/>
    <ds:schemaRef ds:uri="ec2472de-ddbe-426b-b482-e7ddac910fb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7F8D1DC6-E92A-462D-84DB-161E28E37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93cc2-3c37-4544-b041-29172f73605b"/>
    <ds:schemaRef ds:uri="ec2472de-ddbe-426b-b482-e7ddac910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Nation Brand Website Publications.dotx</Template>
  <TotalTime>0</TotalTime>
  <Pages>29</Pages>
  <Words>6782</Words>
  <Characters>38661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Version_THRIVE 2030 Implementation Report</dc:title>
  <dc:subject/>
  <dc:creator/>
  <cp:keywords/>
  <dc:description/>
  <cp:lastModifiedBy/>
  <cp:revision>1</cp:revision>
  <dcterms:created xsi:type="dcterms:W3CDTF">2023-07-13T23:19:00Z</dcterms:created>
  <dcterms:modified xsi:type="dcterms:W3CDTF">2023-07-13T23:19:00Z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0x0101000F965A10587E2F4B9C5CBC374F200124</vt:lpwstr>
  </property>
  <property fmtid="{D5CDD505-2E9C-101B-9397-08002B2CF9AE}" pid="3" name="_dlc_DocIdItemGuid">
    <vt:lpwstr>96547cda-7615-473e-af29-c44846e581a7</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e3b9f5db-f366-4dfb-9b29-f3a5bd1b63eb</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ies>
</file>