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1649280474"/>
        <w:docPartObj>
          <w:docPartGallery w:val="Cover Pages"/>
          <w:docPartUnique/>
        </w:docPartObj>
      </w:sdtPr>
      <w:sdtEndPr>
        <w:rPr>
          <w:b/>
          <w:bCs/>
        </w:rPr>
      </w:sdtEndPr>
      <w:sdtContent>
        <w:p w14:paraId="639C5673" w14:textId="5CFC71A4" w:rsidR="007A3AFB" w:rsidRDefault="007A3AFB">
          <w:r>
            <w:rPr>
              <w:noProof/>
              <w:lang w:eastAsia="en-AU"/>
            </w:rPr>
            <w:drawing>
              <wp:anchor distT="0" distB="0" distL="114300" distR="114300" simplePos="0" relativeHeight="251658241" behindDoc="0" locked="0" layoutInCell="1" allowOverlap="1" wp14:anchorId="2AD16D44" wp14:editId="0C44A29D">
                <wp:simplePos x="0" y="0"/>
                <wp:positionH relativeFrom="column">
                  <wp:posOffset>4045897</wp:posOffset>
                </wp:positionH>
                <wp:positionV relativeFrom="page">
                  <wp:posOffset>814070</wp:posOffset>
                </wp:positionV>
                <wp:extent cx="2171700" cy="227965"/>
                <wp:effectExtent l="0" t="0" r="0" b="635"/>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71700" cy="2279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AU"/>
            </w:rPr>
            <w:drawing>
              <wp:anchor distT="0" distB="0" distL="114300" distR="114300" simplePos="0" relativeHeight="251658240" behindDoc="1" locked="0" layoutInCell="1" allowOverlap="1" wp14:anchorId="5D1B0588" wp14:editId="401F2A2B">
                <wp:simplePos x="0" y="0"/>
                <wp:positionH relativeFrom="column">
                  <wp:posOffset>-629728</wp:posOffset>
                </wp:positionH>
                <wp:positionV relativeFrom="paragraph">
                  <wp:posOffset>-1191080</wp:posOffset>
                </wp:positionV>
                <wp:extent cx="7525628" cy="10645200"/>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2">
                          <a:extLst>
                            <a:ext uri="{28A0092B-C50C-407E-A947-70E740481C1C}">
                              <a14:useLocalDpi xmlns:a14="http://schemas.microsoft.com/office/drawing/2010/main" val="0"/>
                            </a:ext>
                          </a:extLst>
                        </a:blip>
                        <a:stretch>
                          <a:fillRect/>
                        </a:stretch>
                      </pic:blipFill>
                      <pic:spPr>
                        <a:xfrm>
                          <a:off x="0" y="0"/>
                          <a:ext cx="7525628" cy="10645200"/>
                        </a:xfrm>
                        <a:prstGeom prst="rect">
                          <a:avLst/>
                        </a:prstGeom>
                      </pic:spPr>
                    </pic:pic>
                  </a:graphicData>
                </a:graphic>
                <wp14:sizeRelH relativeFrom="margin">
                  <wp14:pctWidth>0</wp14:pctWidth>
                </wp14:sizeRelH>
                <wp14:sizeRelV relativeFrom="margin">
                  <wp14:pctHeight>0</wp14:pctHeight>
                </wp14:sizeRelV>
              </wp:anchor>
            </w:drawing>
          </w:r>
        </w:p>
        <w:p w14:paraId="3B811720" w14:textId="6459B825" w:rsidR="007A3AFB" w:rsidRPr="007A3AFB" w:rsidRDefault="007A3AFB" w:rsidP="007A3AFB"/>
        <w:p w14:paraId="3E55E729" w14:textId="77777777" w:rsidR="007A3AFB" w:rsidRDefault="007A3AFB" w:rsidP="007A3AFB"/>
        <w:p w14:paraId="0759F0F6" w14:textId="0EBCEFED" w:rsidR="00501469" w:rsidRDefault="007A3AFB" w:rsidP="007A3AFB">
          <w:pPr>
            <w:tabs>
              <w:tab w:val="left" w:pos="1019"/>
            </w:tabs>
          </w:pPr>
          <w:r>
            <w:tab/>
          </w:r>
        </w:p>
        <w:p w14:paraId="207DB4A2" w14:textId="1DB331ED" w:rsidR="00501469" w:rsidRDefault="00501469"/>
        <w:p w14:paraId="11876539" w14:textId="77777777" w:rsidR="00501469" w:rsidRDefault="00501469"/>
        <w:p w14:paraId="1243024B" w14:textId="698442C7" w:rsidR="00501469" w:rsidRDefault="00501469"/>
        <w:p w14:paraId="2FBBAEC5" w14:textId="77777777" w:rsidR="00501469" w:rsidRDefault="00501469"/>
        <w:p w14:paraId="4E2C85E5" w14:textId="6483D8B4" w:rsidR="003E38E3" w:rsidRPr="006E5DC7" w:rsidRDefault="0074772A" w:rsidP="00C51936">
          <w:pPr>
            <w:pStyle w:val="CoverPageHeader"/>
          </w:pPr>
          <w:r>
            <w:t>Visitor Economy Workforce and Skills Interim Action Plan</w:t>
          </w:r>
        </w:p>
        <w:p w14:paraId="76CC0429" w14:textId="32BE166D" w:rsidR="003E38E3" w:rsidRPr="00F90A73" w:rsidRDefault="0074772A" w:rsidP="00F90A73">
          <w:pPr>
            <w:pStyle w:val="CoverPageSub1"/>
          </w:pPr>
          <w:r>
            <w:t>2023-24</w:t>
          </w:r>
        </w:p>
        <w:p w14:paraId="622BE7FA" w14:textId="77777777" w:rsidR="00F90A73" w:rsidRDefault="00F90A73" w:rsidP="00F90A73">
          <w:pPr>
            <w:rPr>
              <w:color w:val="FFFFFF" w:themeColor="background1"/>
              <w:sz w:val="22"/>
              <w:szCs w:val="22"/>
            </w:rPr>
          </w:pPr>
        </w:p>
        <w:p w14:paraId="0BC88CAA" w14:textId="6331878A" w:rsidR="00501469" w:rsidRPr="00F90A73" w:rsidRDefault="0074772A" w:rsidP="00F90A73">
          <w:pPr>
            <w:rPr>
              <w:b/>
              <w:bCs/>
              <w:color w:val="FFFFFF" w:themeColor="background1"/>
              <w:sz w:val="22"/>
              <w:szCs w:val="22"/>
            </w:rPr>
          </w:pPr>
          <w:r w:rsidRPr="00F90A73">
            <w:rPr>
              <w:color w:val="FFFFFF" w:themeColor="background1"/>
              <w:sz w:val="22"/>
              <w:szCs w:val="22"/>
            </w:rPr>
            <w:t>June 202</w:t>
          </w:r>
          <w:r w:rsidR="00F07802">
            <w:rPr>
              <w:color w:val="FFFFFF" w:themeColor="background1"/>
              <w:sz w:val="22"/>
              <w:szCs w:val="22"/>
            </w:rPr>
            <w:t>3</w:t>
          </w:r>
        </w:p>
        <w:p w14:paraId="27C8FB4C" w14:textId="1A8F29E5" w:rsidR="00501469" w:rsidRDefault="00316B55">
          <w:pPr>
            <w:spacing w:before="0" w:after="160" w:line="259" w:lineRule="auto"/>
          </w:pPr>
          <w:r>
            <w:rPr>
              <w:noProof/>
            </w:rPr>
            <w:drawing>
              <wp:anchor distT="0" distB="0" distL="114300" distR="114300" simplePos="0" relativeHeight="251658243" behindDoc="0" locked="0" layoutInCell="1" allowOverlap="1" wp14:anchorId="613A383A" wp14:editId="1C40B732">
                <wp:simplePos x="0" y="0"/>
                <wp:positionH relativeFrom="column">
                  <wp:posOffset>54864</wp:posOffset>
                </wp:positionH>
                <wp:positionV relativeFrom="paragraph">
                  <wp:posOffset>2022374</wp:posOffset>
                </wp:positionV>
                <wp:extent cx="769271" cy="780368"/>
                <wp:effectExtent l="0" t="0" r="0" b="1270"/>
                <wp:wrapNone/>
                <wp:docPr id="37" name="Picture 3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a:extLst>
                            <a:ext uri="{C183D7F6-B498-43B3-948B-1728B52AA6E4}">
                              <adec:decorative xmlns:adec="http://schemas.microsoft.com/office/drawing/2017/decorative" val="1"/>
                            </a:ext>
                          </a:extLst>
                        </pic:cNvPr>
                        <pic:cNvPicPr/>
                      </pic:nvPicPr>
                      <pic:blipFill rotWithShape="1">
                        <a:blip r:embed="rId13"/>
                        <a:srcRect l="7485" r="22782"/>
                        <a:stretch/>
                      </pic:blipFill>
                      <pic:spPr bwMode="auto">
                        <a:xfrm>
                          <a:off x="0" y="0"/>
                          <a:ext cx="769271" cy="78036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D6C92" w:rsidRPr="00B863D3">
            <w:rPr>
              <w:noProof/>
              <w:lang w:eastAsia="en-AU"/>
            </w:rPr>
            <w:drawing>
              <wp:anchor distT="0" distB="0" distL="114300" distR="114300" simplePos="0" relativeHeight="251658242" behindDoc="0" locked="0" layoutInCell="1" allowOverlap="1" wp14:anchorId="4A9912F6" wp14:editId="3DF9F492">
                <wp:simplePos x="0" y="0"/>
                <wp:positionH relativeFrom="margin">
                  <wp:posOffset>3100832</wp:posOffset>
                </wp:positionH>
                <wp:positionV relativeFrom="paragraph">
                  <wp:posOffset>2181327</wp:posOffset>
                </wp:positionV>
                <wp:extent cx="3380105" cy="621461"/>
                <wp:effectExtent l="0" t="0" r="0" b="762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rotWithShape="1">
                        <a:blip r:embed="rId14">
                          <a:extLst>
                            <a:ext uri="{28A0092B-C50C-407E-A947-70E740481C1C}">
                              <a14:useLocalDpi xmlns:a14="http://schemas.microsoft.com/office/drawing/2010/main" val="0"/>
                            </a:ext>
                          </a:extLst>
                        </a:blip>
                        <a:srcRect t="12013" b="24200"/>
                        <a:stretch/>
                      </pic:blipFill>
                      <pic:spPr bwMode="auto">
                        <a:xfrm>
                          <a:off x="0" y="0"/>
                          <a:ext cx="3380105" cy="62146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01469">
            <w:rPr>
              <w:b/>
              <w:bCs/>
            </w:rPr>
            <w:br w:type="page"/>
          </w:r>
        </w:p>
      </w:sdtContent>
    </w:sdt>
    <w:p w14:paraId="645D6C85" w14:textId="5E15F032" w:rsidR="00321E47" w:rsidRPr="00D55592" w:rsidRDefault="0074772A" w:rsidP="00D55592">
      <w:pPr>
        <w:pStyle w:val="Heading1"/>
        <w:rPr>
          <w:b/>
          <w:bCs/>
          <w:color w:val="auto"/>
          <w:sz w:val="32"/>
          <w:szCs w:val="32"/>
        </w:rPr>
      </w:pPr>
      <w:r w:rsidRPr="00D55592">
        <w:rPr>
          <w:b/>
          <w:bCs/>
          <w:color w:val="auto"/>
          <w:sz w:val="32"/>
          <w:szCs w:val="32"/>
        </w:rPr>
        <w:t>Context</w:t>
      </w:r>
    </w:p>
    <w:p w14:paraId="7395B0BA" w14:textId="77777777" w:rsidR="0074772A" w:rsidRDefault="0074772A" w:rsidP="00F90A73">
      <w:r>
        <w:t xml:space="preserve">Under THRIVE 2030, the national visitor economy strategy, the THRIVE 2030 Workforce and Skills Technical Working Group (the Working Group) guides the development of a long-term visitor economy workforce and skills strategy (the long-term strategy). </w:t>
      </w:r>
    </w:p>
    <w:p w14:paraId="50A9D46B" w14:textId="625D173C" w:rsidR="0074772A" w:rsidRDefault="0074772A" w:rsidP="00F90A73">
      <w:r>
        <w:t xml:space="preserve">The Government is developing its framework for building a bigger, better </w:t>
      </w:r>
      <w:proofErr w:type="gramStart"/>
      <w:r>
        <w:t>trained</w:t>
      </w:r>
      <w:proofErr w:type="gramEnd"/>
      <w:r>
        <w:t xml:space="preserve"> and more productive workforce for Australia, through the development of an Employment White Paper, led by Treasury. This will be complemented by a review of Australia’s Migration System and a Strategy: A Migration System for Australia’s Future, led by the Department of Home Affairs. </w:t>
      </w:r>
      <w:proofErr w:type="gramStart"/>
      <w:r>
        <w:t>In light of</w:t>
      </w:r>
      <w:proofErr w:type="gramEnd"/>
      <w:r>
        <w:t xml:space="preserve"> these key pieces of work, the Working Group agreed to delay the development of the long-term strategy until after the release of the Employment White Paper (due September 2023) to ensure the strategy reflects the framework set out in the Employment White Paper.</w:t>
      </w:r>
    </w:p>
    <w:p w14:paraId="1E46E8A9" w14:textId="77777777" w:rsidR="0074772A" w:rsidRDefault="0074772A" w:rsidP="00F90A73">
      <w:r>
        <w:t xml:space="preserve">Noting the criticality of workforce shortages in the visitor economy, in the interim, the Working Group agreed to develop this Visitor Economy Workforce and Skills Interim Action Plan (Action Plan) to capture and facilitate immediate action to build workforce capability in the visitor economy. The Action Plan is intended to be in place for a duration of 12 to 18 months. </w:t>
      </w:r>
    </w:p>
    <w:p w14:paraId="2158626E" w14:textId="77777777" w:rsidR="0074772A" w:rsidRDefault="0074772A" w:rsidP="0074772A">
      <w:pPr>
        <w:spacing w:line="264" w:lineRule="auto"/>
      </w:pPr>
      <w:r>
        <w:t>This Action Plan is informed by extensive stakeholder consultation, including the Tourism Jobs Summit led by Minister for Trade and Tourism, Senator the Hon Don Farrell, on 30 August 2022. Working Group members helped to facilitate the Summit which was attended by 70 representatives from tourism industry associations, unions, business, academia, the Australian Government and s</w:t>
      </w:r>
      <w:r w:rsidRPr="00AB106A">
        <w:t>tate and territory governments</w:t>
      </w:r>
      <w:r>
        <w:t>, and produced recommendations which have been included in the Action Plan.</w:t>
      </w:r>
    </w:p>
    <w:p w14:paraId="56C4D0EE" w14:textId="77777777" w:rsidR="0074772A" w:rsidRDefault="0074772A" w:rsidP="0074772A">
      <w:pPr>
        <w:spacing w:line="264" w:lineRule="auto"/>
        <w:rPr>
          <w:i/>
          <w:iCs/>
        </w:rPr>
      </w:pPr>
      <w:r>
        <w:t>Themes and actions set out below reflect key priorities in building visitor economy workforce capability, including the Australian Government’s support for attracting people to work in tourism. The Action Plan also reflects state and t</w:t>
      </w:r>
      <w:r w:rsidRPr="009B0F22">
        <w:t>erritory</w:t>
      </w:r>
      <w:r>
        <w:t xml:space="preserve"> government and industry association workforce and skills strategies and activities, including the Tourism Training Australia/Australian Chamber of Commerce and Industry (ACCI) </w:t>
      </w:r>
      <w:r w:rsidRPr="5CA585A7">
        <w:rPr>
          <w:i/>
          <w:iCs/>
        </w:rPr>
        <w:t>Tourism &amp; Hospitality Workforce Development Strategy.</w:t>
      </w:r>
      <w:r w:rsidRPr="5CA585A7">
        <w:rPr>
          <w:rStyle w:val="FootnoteReference"/>
          <w:i/>
          <w:iCs/>
        </w:rPr>
        <w:footnoteReference w:id="2"/>
      </w:r>
      <w:r w:rsidRPr="5CA585A7">
        <w:rPr>
          <w:i/>
          <w:iCs/>
        </w:rPr>
        <w:t xml:space="preserve"> </w:t>
      </w:r>
    </w:p>
    <w:p w14:paraId="6F192951" w14:textId="1B7D3FDD" w:rsidR="004767E6" w:rsidRDefault="0074772A" w:rsidP="0074772A">
      <w:pPr>
        <w:pStyle w:val="Heading2"/>
      </w:pPr>
      <w:r>
        <w:t>Key dependencies</w:t>
      </w:r>
    </w:p>
    <w:p w14:paraId="7D62A39C" w14:textId="77777777" w:rsidR="007B5347" w:rsidRDefault="0074772A" w:rsidP="007B5347">
      <w:pPr>
        <w:spacing w:line="264" w:lineRule="auto"/>
      </w:pPr>
      <w:r>
        <w:t>There are key dependencies that have informed the Action Plan and will influence the development of the long-term strategy.</w:t>
      </w:r>
    </w:p>
    <w:p w14:paraId="2C150808" w14:textId="21C77F12" w:rsidR="0074772A" w:rsidRPr="009A2189" w:rsidRDefault="0074772A" w:rsidP="007B5347">
      <w:pPr>
        <w:spacing w:line="264" w:lineRule="auto"/>
      </w:pPr>
      <w:r>
        <w:t xml:space="preserve">The </w:t>
      </w:r>
      <w:r w:rsidRPr="00E9288C">
        <w:t>release of the Employment White Paper by Treasury</w:t>
      </w:r>
      <w:r>
        <w:t>, anticipated for September 2023, is expected to include a framework and policy approaches relevant to building tourism workforce capability over the long term.</w:t>
      </w:r>
    </w:p>
    <w:p w14:paraId="15729DCA" w14:textId="14579D42" w:rsidR="00A86927" w:rsidRDefault="0074772A" w:rsidP="00571BDC">
      <w:r>
        <w:t xml:space="preserve">A further dependency is the outcomes of the review of the Migration System and the </w:t>
      </w:r>
      <w:r w:rsidRPr="001A4783">
        <w:t xml:space="preserve">Migration Strategy: </w:t>
      </w:r>
      <w:r w:rsidRPr="001A4783">
        <w:rPr>
          <w:i/>
        </w:rPr>
        <w:t>A Migration System for a more prosperous and secure Australia</w:t>
      </w:r>
      <w:r>
        <w:rPr>
          <w:i/>
        </w:rPr>
        <w:t>,</w:t>
      </w:r>
      <w:r w:rsidRPr="001A4783">
        <w:rPr>
          <w:i/>
        </w:rPr>
        <w:t xml:space="preserve"> </w:t>
      </w:r>
      <w:r>
        <w:t>which will establish the core principles on which Australia’s migration system will rest.</w:t>
      </w:r>
    </w:p>
    <w:p w14:paraId="327BE3A5" w14:textId="77777777" w:rsidR="00B95782" w:rsidRPr="00B95782" w:rsidRDefault="00B95782" w:rsidP="00D55592"/>
    <w:p w14:paraId="1B220944" w14:textId="1928B5A2" w:rsidR="0074772A" w:rsidRPr="00D55592" w:rsidRDefault="0074772A" w:rsidP="00D55592">
      <w:pPr>
        <w:pStyle w:val="Heading1"/>
        <w:rPr>
          <w:b/>
          <w:bCs/>
          <w:color w:val="auto"/>
          <w:sz w:val="32"/>
          <w:szCs w:val="32"/>
        </w:rPr>
      </w:pPr>
      <w:r w:rsidRPr="00D55592">
        <w:rPr>
          <w:b/>
          <w:bCs/>
          <w:color w:val="auto"/>
          <w:sz w:val="32"/>
          <w:szCs w:val="32"/>
        </w:rPr>
        <w:t>Strategic intent</w:t>
      </w:r>
    </w:p>
    <w:p w14:paraId="5A8504CB" w14:textId="77777777" w:rsidR="0074772A" w:rsidRPr="00ED2FF4" w:rsidRDefault="0074772A" w:rsidP="0074772A">
      <w:pPr>
        <w:spacing w:line="264" w:lineRule="auto"/>
      </w:pPr>
      <w:r w:rsidRPr="7D1E98D9">
        <w:rPr>
          <w:rFonts w:eastAsia="Verdana" w:cs="Verdana"/>
        </w:rPr>
        <w:t>Throughout the industry consultations undertaken for THRIVE 2030, we heard that workforce shortages were the greatest barrier to the Australian visitor economy’s recovery. THRIVE 2030 includes the policy priority</w:t>
      </w:r>
      <w:r>
        <w:rPr>
          <w:rFonts w:eastAsia="Verdana" w:cs="Verdana"/>
        </w:rPr>
        <w:t xml:space="preserve"> to</w:t>
      </w:r>
      <w:r w:rsidRPr="7D1E98D9">
        <w:rPr>
          <w:rFonts w:eastAsia="Verdana" w:cs="Verdana"/>
        </w:rPr>
        <w:t xml:space="preserve"> “</w:t>
      </w:r>
      <w:r>
        <w:rPr>
          <w:rFonts w:eastAsia="Verdana" w:cs="Verdana"/>
        </w:rPr>
        <w:t>g</w:t>
      </w:r>
      <w:r w:rsidRPr="7D1E98D9">
        <w:rPr>
          <w:rFonts w:eastAsia="Verdana" w:cs="Verdana"/>
        </w:rPr>
        <w:t>row a secure and resilient workforce”. The intended</w:t>
      </w:r>
      <w:r w:rsidRPr="7D1E98D9" w:rsidDel="00645F45">
        <w:rPr>
          <w:rFonts w:eastAsia="Verdana" w:cs="Verdana"/>
        </w:rPr>
        <w:t xml:space="preserve"> </w:t>
      </w:r>
      <w:r>
        <w:rPr>
          <w:rFonts w:eastAsia="Verdana" w:cs="Verdana"/>
        </w:rPr>
        <w:t>impact</w:t>
      </w:r>
      <w:r w:rsidRPr="7D1E98D9">
        <w:rPr>
          <w:rFonts w:eastAsia="Verdana" w:cs="Verdana"/>
        </w:rPr>
        <w:t xml:space="preserve"> of th</w:t>
      </w:r>
      <w:r>
        <w:rPr>
          <w:rFonts w:eastAsia="Verdana" w:cs="Verdana"/>
        </w:rPr>
        <w:t>e strategy is to contribute to efforts to ensure</w:t>
      </w:r>
      <w:r w:rsidRPr="7D1E98D9">
        <w:rPr>
          <w:rFonts w:eastAsia="Verdana" w:cs="Verdana"/>
        </w:rPr>
        <w:t xml:space="preserve"> that visitor economy businesses have a stable supply of appropriately skilled workers to deliver high-quality experiences.</w:t>
      </w:r>
    </w:p>
    <w:p w14:paraId="3C15D1A3" w14:textId="77777777" w:rsidR="0074772A" w:rsidRDefault="0074772A" w:rsidP="0074772A">
      <w:pPr>
        <w:spacing w:line="264" w:lineRule="auto"/>
      </w:pPr>
      <w:r>
        <w:t xml:space="preserve">This Action Plan focuses on five key themes to address workforce and skills issues. The table below focuses on the objectives, issues, actions, </w:t>
      </w:r>
      <w:proofErr w:type="gramStart"/>
      <w:r>
        <w:t>deliverables</w:t>
      </w:r>
      <w:proofErr w:type="gramEnd"/>
      <w:r>
        <w:t xml:space="preserve"> and potential measurements which will contribute to the development of the long-term strategy.</w:t>
      </w:r>
    </w:p>
    <w:p w14:paraId="0DCF33A1" w14:textId="77777777" w:rsidR="0074772A" w:rsidRDefault="0074772A" w:rsidP="0074772A">
      <w:pPr>
        <w:spacing w:line="264" w:lineRule="auto"/>
      </w:pPr>
      <w:r>
        <w:t>This Action Plan also incorporates and takes forward immediate Australian Government workforce measures to support the tourism and travel industry to return to its economic powerhouse status.</w:t>
      </w:r>
    </w:p>
    <w:p w14:paraId="2C1837A7" w14:textId="281D0955" w:rsidR="0074772A" w:rsidRPr="00D55592" w:rsidRDefault="0074772A" w:rsidP="00D55592">
      <w:pPr>
        <w:pStyle w:val="Heading1"/>
        <w:rPr>
          <w:b/>
          <w:bCs/>
          <w:color w:val="auto"/>
          <w:sz w:val="32"/>
          <w:szCs w:val="32"/>
        </w:rPr>
      </w:pPr>
      <w:r w:rsidRPr="00D55592">
        <w:rPr>
          <w:b/>
          <w:bCs/>
          <w:color w:val="auto"/>
          <w:sz w:val="32"/>
          <w:szCs w:val="32"/>
        </w:rPr>
        <w:t xml:space="preserve">Themes </w:t>
      </w:r>
    </w:p>
    <w:p w14:paraId="135D844C" w14:textId="77777777" w:rsidR="0074772A" w:rsidRDefault="0074772A" w:rsidP="0074772A">
      <w:r w:rsidRPr="0013422C">
        <w:t>The</w:t>
      </w:r>
      <w:r>
        <w:t xml:space="preserve"> Action Plan has </w:t>
      </w:r>
      <w:r w:rsidRPr="0013422C">
        <w:t>five themes</w:t>
      </w:r>
      <w:r>
        <w:t xml:space="preserve">, drawn from those identified at the Tourism Jobs Summit, the Jobs and Skills Summit and the development of the Employment White Paper. The themes </w:t>
      </w:r>
      <w:r w:rsidRPr="007D0A34">
        <w:t xml:space="preserve">are: </w:t>
      </w:r>
    </w:p>
    <w:p w14:paraId="67FC70EC" w14:textId="272DCA9A" w:rsidR="0074772A" w:rsidRDefault="0074772A" w:rsidP="0074772A">
      <w:pPr>
        <w:pStyle w:val="Heading2"/>
      </w:pPr>
      <w:r>
        <w:t>Addressing workforce supply: structural challenges</w:t>
      </w:r>
    </w:p>
    <w:p w14:paraId="10C402FE" w14:textId="4AB37D26" w:rsidR="0074772A" w:rsidRDefault="0074772A" w:rsidP="0074772A">
      <w:r w:rsidRPr="00103889">
        <w:t>The visitor economy has historically faced workforce shortages and challenges in attracting and retaining staff</w:t>
      </w:r>
      <w:r>
        <w:t>, including</w:t>
      </w:r>
      <w:r w:rsidRPr="00103889">
        <w:t xml:space="preserve"> due to the seasonal and/or casual nature of many roles. This has led to a reliance on migrant</w:t>
      </w:r>
      <w:r>
        <w:t>s</w:t>
      </w:r>
      <w:r w:rsidRPr="00103889">
        <w:t xml:space="preserve"> – including skilled migrant workers and temporary visitors – and short-term, casual staff to address ongoing workforce shortages. </w:t>
      </w:r>
      <w:r>
        <w:t xml:space="preserve">Structural </w:t>
      </w:r>
      <w:r w:rsidRPr="00103889">
        <w:t>challenges were highlighted and exacerbated by the COVID-19 pandemic</w:t>
      </w:r>
      <w:r>
        <w:t>,</w:t>
      </w:r>
      <w:r w:rsidRPr="00103889">
        <w:t xml:space="preserve"> with higher job losses for part-time tourism jobs (205,900) than full-time (187,700) at the low point of the pandemic (June 2020)</w:t>
      </w:r>
      <w:r w:rsidRPr="56EF92B6">
        <w:rPr>
          <w:rStyle w:val="FootnoteReference"/>
        </w:rPr>
        <w:footnoteReference w:id="3"/>
      </w:r>
      <w:r w:rsidRPr="00103889">
        <w:t>.</w:t>
      </w:r>
    </w:p>
    <w:p w14:paraId="45A8F410" w14:textId="084024BC" w:rsidR="0074772A" w:rsidRDefault="0074772A" w:rsidP="0074772A">
      <w:pPr>
        <w:pStyle w:val="Heading2"/>
      </w:pPr>
      <w:r>
        <w:t>Addressing workforce supply: domestic workforce</w:t>
      </w:r>
    </w:p>
    <w:p w14:paraId="16EB0682" w14:textId="516567A4" w:rsidR="0074772A" w:rsidRDefault="0074772A" w:rsidP="0074772A">
      <w:r>
        <w:t>In an environment of “full employment” across the Australian economy, there are opportunities to build an Australian workforce by increasing participation from underrepresented cohorts including mature workers, First Nations Australians, people with disability, young workers, and women. Participation rates for some of these cohorts are lower than the rest of the population. For example, women experienced greater tourism job losses (232,400) than men (161,200) at the low point of the pandemic</w:t>
      </w:r>
      <w:r w:rsidRPr="56EF92B6">
        <w:rPr>
          <w:rStyle w:val="FootnoteReference"/>
        </w:rPr>
        <w:footnoteReference w:id="4"/>
      </w:r>
      <w:r>
        <w:t>. Facilitating access to employment domestically from underrepresented cohorts leads to a more resilient workforce. </w:t>
      </w:r>
    </w:p>
    <w:p w14:paraId="0163313D" w14:textId="52AD780F" w:rsidR="0074772A" w:rsidRDefault="0074772A" w:rsidP="0074772A">
      <w:pPr>
        <w:pStyle w:val="Heading2"/>
      </w:pPr>
      <w:r>
        <w:t>Addressing workforce supply: international workforce</w:t>
      </w:r>
    </w:p>
    <w:p w14:paraId="3506282A" w14:textId="12734DE8" w:rsidR="0074772A" w:rsidRDefault="0074772A" w:rsidP="0074772A">
      <w:r>
        <w:t>Overseas workers, particularly Working Holiday Makers and international students, have traditionally comprised around 10 per cent</w:t>
      </w:r>
      <w:r w:rsidRPr="0A775CA7">
        <w:rPr>
          <w:rStyle w:val="FootnoteReference"/>
        </w:rPr>
        <w:footnoteReference w:id="5"/>
      </w:r>
      <w:r>
        <w:t xml:space="preserve"> of the national workforce in the visitor economy. They are a mobile cohort who fill seasonal roles and gaps in the unskilled and semi-skilled labour markets, often in regional Australia. They often stay in temporary or short-term accommodation designed specifically for this purpose. Many international students seek roles between study periods. Ensuring the continuity of this agile workforce is vital for the sustainability of the visitor economy. The visitor economy also has a range of specialised roles that are hard to fill, for which the skilled migration program is essential.</w:t>
      </w:r>
    </w:p>
    <w:p w14:paraId="0E80FC5B" w14:textId="19E4723D" w:rsidR="0074772A" w:rsidRDefault="0074772A" w:rsidP="0074772A">
      <w:pPr>
        <w:pStyle w:val="Heading2"/>
      </w:pPr>
      <w:r>
        <w:t xml:space="preserve">Skills improving workforce </w:t>
      </w:r>
      <w:proofErr w:type="gramStart"/>
      <w:r>
        <w:t>capability</w:t>
      </w:r>
      <w:proofErr w:type="gramEnd"/>
    </w:p>
    <w:p w14:paraId="3B073611" w14:textId="658DBF44" w:rsidR="0074772A" w:rsidRDefault="0074772A" w:rsidP="0074772A">
      <w:r w:rsidRPr="00103889">
        <w:t xml:space="preserve">A key requirement for a world-class workforce is ensuring training and education </w:t>
      </w:r>
      <w:r>
        <w:t>are</w:t>
      </w:r>
      <w:r w:rsidRPr="00103889">
        <w:t xml:space="preserve"> aligned to industry requirements of the future, and having people with the right skills to address visitor needs</w:t>
      </w:r>
      <w:r>
        <w:t xml:space="preserve"> as they evolve</w:t>
      </w:r>
      <w:r w:rsidRPr="00103889">
        <w:t>. This requires relevant and accessible high-quality training – whether formal training, apprenticeships, micro-credentials and/or work-based training</w:t>
      </w:r>
      <w:r>
        <w:t>. It also needs</w:t>
      </w:r>
      <w:r w:rsidRPr="00103889">
        <w:t xml:space="preserve"> consideration of the varied job roles that comprise the visitor economy, </w:t>
      </w:r>
      <w:r>
        <w:t>and the</w:t>
      </w:r>
      <w:r w:rsidRPr="00103889">
        <w:t xml:space="preserve"> different specialisations, training and skill sets</w:t>
      </w:r>
      <w:r>
        <w:t xml:space="preserve"> required</w:t>
      </w:r>
      <w:r w:rsidRPr="00103889">
        <w:t>. Improving workforce capability also helps to address structural issues</w:t>
      </w:r>
      <w:r w:rsidRPr="0013422C">
        <w:rPr>
          <w:shd w:val="clear" w:color="auto" w:fill="FFFFFF"/>
        </w:rPr>
        <w:t>. </w:t>
      </w:r>
      <w:r w:rsidRPr="0FEA369F">
        <w:t>To ensure capability efforts also respond to workforce supply issues, training should be culturally appropriate and inclusive</w:t>
      </w:r>
      <w:r>
        <w:t>, including for</w:t>
      </w:r>
      <w:r w:rsidRPr="0FEA369F">
        <w:t xml:space="preserve"> young</w:t>
      </w:r>
      <w:r>
        <w:t xml:space="preserve"> workers,</w:t>
      </w:r>
      <w:r w:rsidRPr="0FEA369F">
        <w:t xml:space="preserve"> mature workers</w:t>
      </w:r>
      <w:r>
        <w:t>,</w:t>
      </w:r>
      <w:r w:rsidRPr="0FEA369F">
        <w:t xml:space="preserve"> people with disability</w:t>
      </w:r>
      <w:r>
        <w:t xml:space="preserve"> and First Nations Australians</w:t>
      </w:r>
      <w:r w:rsidRPr="0FEA369F">
        <w:t>.</w:t>
      </w:r>
    </w:p>
    <w:p w14:paraId="0AD63290" w14:textId="482FBAB9" w:rsidR="0074772A" w:rsidRPr="0074772A" w:rsidRDefault="0074772A" w:rsidP="0074772A">
      <w:pPr>
        <w:pStyle w:val="Heading2"/>
      </w:pPr>
      <w:r>
        <w:t>Career of choice: elev</w:t>
      </w:r>
      <w:r w:rsidR="00FB790F">
        <w:t>a</w:t>
      </w:r>
      <w:r>
        <w:t>ting the visitor economy</w:t>
      </w:r>
    </w:p>
    <w:p w14:paraId="691C1B8F" w14:textId="4FF42150" w:rsidR="00C51936" w:rsidRDefault="00FB790F" w:rsidP="00571BDC">
      <w:r>
        <w:t>In a highly competitive job market, people pursue jobs that offer better job security, more consistency and increased pay, while international workers are looking to other countries for work experiences</w:t>
      </w:r>
      <w:r>
        <w:rPr>
          <w:rStyle w:val="FootnoteReference"/>
        </w:rPr>
        <w:footnoteReference w:id="6"/>
      </w:r>
      <w:r>
        <w:t xml:space="preserve">. To build a more resilient workforce, there is an opportunity to both raise the profile of what it means to have a career in the visitor economy, whether as a small business owner or in a global </w:t>
      </w:r>
      <w:proofErr w:type="gramStart"/>
      <w:r>
        <w:t>business, and</w:t>
      </w:r>
      <w:proofErr w:type="gramEnd"/>
      <w:r>
        <w:t xml:space="preserve"> highlight the opportunities these roles present. Changing perceptions of careers and opportunities will assist to create a more sustainable workforce pipeline. Jobs in the First Nations tourism sector create more than just employment opportunities: they allow young people to locate themselves where they can remain connected to kin and culture.</w:t>
      </w:r>
    </w:p>
    <w:p w14:paraId="4D0386EA" w14:textId="77777777" w:rsidR="00FB790F" w:rsidRPr="00D55592" w:rsidRDefault="00FB790F" w:rsidP="00D55592">
      <w:pPr>
        <w:pStyle w:val="Heading1"/>
        <w:rPr>
          <w:b/>
          <w:bCs/>
          <w:color w:val="auto"/>
          <w:sz w:val="32"/>
          <w:szCs w:val="32"/>
        </w:rPr>
      </w:pPr>
      <w:r w:rsidRPr="00D55592">
        <w:rPr>
          <w:b/>
          <w:bCs/>
          <w:color w:val="auto"/>
          <w:sz w:val="32"/>
          <w:szCs w:val="32"/>
        </w:rPr>
        <w:t>Development of the Action Plan</w:t>
      </w:r>
    </w:p>
    <w:p w14:paraId="75472087" w14:textId="77777777" w:rsidR="007B5347" w:rsidRDefault="00FB790F" w:rsidP="007B5347">
      <w:r w:rsidRPr="00D210B6">
        <w:t xml:space="preserve">The opportunities identified in the Action Plan reflect </w:t>
      </w:r>
      <w:r>
        <w:t>the range</w:t>
      </w:r>
      <w:r w:rsidRPr="00D210B6">
        <w:t xml:space="preserve"> of</w:t>
      </w:r>
      <w:r w:rsidRPr="00D210B6" w:rsidDel="00124A81">
        <w:t xml:space="preserve"> </w:t>
      </w:r>
      <w:r w:rsidRPr="00D210B6">
        <w:t xml:space="preserve">issues that </w:t>
      </w:r>
      <w:r>
        <w:t xml:space="preserve">Austrade has identified </w:t>
      </w:r>
      <w:r w:rsidRPr="00D210B6">
        <w:t>from the</w:t>
      </w:r>
      <w:r>
        <w:t>:</w:t>
      </w:r>
    </w:p>
    <w:p w14:paraId="45A7090F" w14:textId="40FAEC46" w:rsidR="00FB790F" w:rsidRDefault="00FB790F" w:rsidP="007B5347">
      <w:pPr>
        <w:pStyle w:val="BulletList"/>
      </w:pPr>
      <w:r w:rsidRPr="00D210B6">
        <w:t>Tourism Jobs Summit</w:t>
      </w:r>
    </w:p>
    <w:p w14:paraId="06021EAB" w14:textId="25A30AFD" w:rsidR="00FB790F" w:rsidRDefault="00FB790F" w:rsidP="00FB790F">
      <w:pPr>
        <w:pStyle w:val="BulletList"/>
      </w:pPr>
      <w:r>
        <w:t>Employment White Paper process</w:t>
      </w:r>
    </w:p>
    <w:p w14:paraId="66410A87" w14:textId="27F2E40B" w:rsidR="00FB790F" w:rsidRDefault="00FB790F" w:rsidP="00FB790F">
      <w:pPr>
        <w:pStyle w:val="BulletList"/>
      </w:pPr>
      <w:r>
        <w:t>State and territory government tourism workforce activities</w:t>
      </w:r>
    </w:p>
    <w:p w14:paraId="7D427BD1" w14:textId="43FC98D4" w:rsidR="00FB790F" w:rsidRDefault="00FB790F" w:rsidP="00FB790F">
      <w:pPr>
        <w:pStyle w:val="BulletList"/>
      </w:pPr>
      <w:r>
        <w:t>industry measures (including Tourism Training Australia/ACCI Tourism &amp; Hospitality Workforce Development Strategy)</w:t>
      </w:r>
    </w:p>
    <w:p w14:paraId="61A9E6FA" w14:textId="1C8C6F7F" w:rsidR="00FB790F" w:rsidRDefault="00FB790F" w:rsidP="00FB790F">
      <w:pPr>
        <w:pStyle w:val="BulletList"/>
      </w:pPr>
      <w:r>
        <w:t>discussions with representatives from the Council for Australasian Tourism and Hospitality Education (CAUTHE) on recent academic research findings on visitor economy workforce challenges.</w:t>
      </w:r>
    </w:p>
    <w:p w14:paraId="076B8955" w14:textId="4BF4C640" w:rsidR="003A16D3" w:rsidRDefault="00FB790F" w:rsidP="00FB790F">
      <w:pPr>
        <w:pStyle w:val="BulletList"/>
        <w:numPr>
          <w:ilvl w:val="0"/>
          <w:numId w:val="0"/>
        </w:numPr>
      </w:pPr>
      <w:r>
        <w:t>The Australian Government Actions list represents funded actions that will address workforce issues</w:t>
      </w:r>
      <w:r w:rsidRPr="00D210B6">
        <w:t xml:space="preserve">. A selection of relevant </w:t>
      </w:r>
      <w:r>
        <w:t>state and territory</w:t>
      </w:r>
      <w:r w:rsidRPr="00D210B6">
        <w:t xml:space="preserve"> government actions, including links to </w:t>
      </w:r>
      <w:r>
        <w:t xml:space="preserve">state and territory strategies, </w:t>
      </w:r>
      <w:r w:rsidR="007B5347">
        <w:t xml:space="preserve">is also included in this Action Plan. </w:t>
      </w:r>
    </w:p>
    <w:p w14:paraId="326C731E" w14:textId="0866F993" w:rsidR="007B5347" w:rsidRDefault="007B5347" w:rsidP="007B5347">
      <w:pPr>
        <w:pStyle w:val="BulletList"/>
        <w:numPr>
          <w:ilvl w:val="0"/>
          <w:numId w:val="0"/>
        </w:numPr>
      </w:pPr>
      <w:r>
        <w:t xml:space="preserve">There will be an opportunity to further contribute to the development of the long-term strategy. </w:t>
      </w:r>
    </w:p>
    <w:p w14:paraId="1A688001" w14:textId="77777777" w:rsidR="007A3AFB" w:rsidRDefault="007A3AFB" w:rsidP="007B5347">
      <w:pPr>
        <w:pStyle w:val="BulletList"/>
        <w:numPr>
          <w:ilvl w:val="0"/>
          <w:numId w:val="0"/>
        </w:numPr>
        <w:sectPr w:rsidR="007A3AFB" w:rsidSect="007A3AFB">
          <w:headerReference w:type="default" r:id="rId15"/>
          <w:footerReference w:type="even" r:id="rId16"/>
          <w:footerReference w:type="default" r:id="rId17"/>
          <w:headerReference w:type="first" r:id="rId18"/>
          <w:footerReference w:type="first" r:id="rId19"/>
          <w:pgSz w:w="11906" w:h="16838" w:code="9"/>
          <w:pgMar w:top="851" w:right="947" w:bottom="992" w:left="992" w:header="709" w:footer="363" w:gutter="0"/>
          <w:pgNumType w:start="0"/>
          <w:cols w:space="708"/>
          <w:titlePg/>
          <w:docGrid w:linePitch="360"/>
        </w:sectPr>
      </w:pPr>
    </w:p>
    <w:tbl>
      <w:tblPr>
        <w:tblW w:w="15594"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53"/>
        <w:gridCol w:w="9"/>
        <w:gridCol w:w="3309"/>
        <w:gridCol w:w="2832"/>
        <w:gridCol w:w="9"/>
        <w:gridCol w:w="2914"/>
        <w:gridCol w:w="3268"/>
      </w:tblGrid>
      <w:tr w:rsidR="007B5347" w:rsidRPr="0013422C" w14:paraId="70E08DDA" w14:textId="77777777" w:rsidTr="00095940">
        <w:trPr>
          <w:tblHeader/>
          <w:jc w:val="center"/>
        </w:trPr>
        <w:tc>
          <w:tcPr>
            <w:tcW w:w="3262" w:type="dxa"/>
            <w:gridSpan w:val="2"/>
            <w:tcBorders>
              <w:top w:val="single" w:sz="6" w:space="0" w:color="auto"/>
              <w:left w:val="single" w:sz="6" w:space="0" w:color="auto"/>
              <w:bottom w:val="single" w:sz="6" w:space="0" w:color="auto"/>
              <w:right w:val="single" w:sz="6" w:space="0" w:color="auto"/>
            </w:tcBorders>
            <w:shd w:val="clear" w:color="auto" w:fill="173F35" w:themeFill="accent1"/>
            <w:hideMark/>
          </w:tcPr>
          <w:p w14:paraId="0D844761" w14:textId="77777777" w:rsidR="007B5347" w:rsidRPr="0013422C" w:rsidRDefault="007B5347" w:rsidP="003A16D3">
            <w:pPr>
              <w:spacing w:before="0" w:after="0" w:line="240" w:lineRule="auto"/>
              <w:textAlignment w:val="baseline"/>
              <w:rPr>
                <w:i/>
                <w:iCs/>
                <w:lang w:eastAsia="en-AU"/>
              </w:rPr>
            </w:pPr>
            <w:r w:rsidRPr="0013422C">
              <w:rPr>
                <w:rFonts w:eastAsia="Times New Roman" w:cs="Times New Roman"/>
                <w:b/>
                <w:bCs/>
                <w:color w:val="FFFFFF"/>
                <w:lang w:eastAsia="en-AU"/>
              </w:rPr>
              <w:t>Addressing Workforce Supply: Structural Challenges </w:t>
            </w:r>
          </w:p>
        </w:tc>
        <w:tc>
          <w:tcPr>
            <w:tcW w:w="3309" w:type="dxa"/>
            <w:tcBorders>
              <w:top w:val="single" w:sz="6" w:space="0" w:color="auto"/>
              <w:left w:val="single" w:sz="6" w:space="0" w:color="auto"/>
              <w:bottom w:val="single" w:sz="6" w:space="0" w:color="auto"/>
              <w:right w:val="single" w:sz="6" w:space="0" w:color="auto"/>
            </w:tcBorders>
            <w:shd w:val="clear" w:color="auto" w:fill="173F35" w:themeFill="accent1"/>
            <w:hideMark/>
          </w:tcPr>
          <w:p w14:paraId="26B31102" w14:textId="77777777" w:rsidR="007B5347" w:rsidRPr="0013422C" w:rsidRDefault="007B5347" w:rsidP="003A16D3">
            <w:pPr>
              <w:spacing w:before="0" w:after="0" w:line="240" w:lineRule="auto"/>
              <w:textAlignment w:val="baseline"/>
              <w:rPr>
                <w:rFonts w:eastAsia="Times New Roman" w:cs="Times New Roman"/>
                <w:b/>
                <w:bCs/>
                <w:color w:val="000000"/>
                <w:lang w:eastAsia="en-AU"/>
              </w:rPr>
            </w:pPr>
            <w:r w:rsidRPr="0013422C">
              <w:rPr>
                <w:rFonts w:eastAsia="Times New Roman" w:cs="Times New Roman"/>
                <w:b/>
                <w:bCs/>
                <w:color w:val="FFFFFF"/>
                <w:lang w:eastAsia="en-AU"/>
              </w:rPr>
              <w:t>Addressing Workforce Supply: Domestic Workforce </w:t>
            </w:r>
          </w:p>
        </w:tc>
        <w:tc>
          <w:tcPr>
            <w:tcW w:w="2832" w:type="dxa"/>
            <w:tcBorders>
              <w:top w:val="single" w:sz="6" w:space="0" w:color="auto"/>
              <w:left w:val="single" w:sz="6" w:space="0" w:color="auto"/>
              <w:bottom w:val="single" w:sz="6" w:space="0" w:color="auto"/>
              <w:right w:val="single" w:sz="6" w:space="0" w:color="auto"/>
            </w:tcBorders>
            <w:shd w:val="clear" w:color="auto" w:fill="173F35" w:themeFill="accent1"/>
            <w:hideMark/>
          </w:tcPr>
          <w:p w14:paraId="3EA0391E" w14:textId="77777777" w:rsidR="007B5347" w:rsidRPr="0013422C" w:rsidRDefault="007B5347" w:rsidP="003A16D3">
            <w:pPr>
              <w:spacing w:before="0" w:after="0" w:line="240" w:lineRule="auto"/>
              <w:textAlignment w:val="baseline"/>
              <w:rPr>
                <w:rFonts w:eastAsia="Times New Roman" w:cs="Times New Roman"/>
                <w:b/>
                <w:bCs/>
                <w:color w:val="000000"/>
                <w:lang w:eastAsia="en-AU"/>
              </w:rPr>
            </w:pPr>
            <w:r w:rsidRPr="0013422C">
              <w:rPr>
                <w:rFonts w:eastAsia="Times New Roman" w:cs="Times New Roman"/>
                <w:b/>
                <w:bCs/>
                <w:color w:val="FFFFFF"/>
                <w:lang w:eastAsia="en-AU"/>
              </w:rPr>
              <w:t>Addressing Workforce Supply: International Workforce </w:t>
            </w:r>
          </w:p>
        </w:tc>
        <w:tc>
          <w:tcPr>
            <w:tcW w:w="2923" w:type="dxa"/>
            <w:gridSpan w:val="2"/>
            <w:tcBorders>
              <w:top w:val="single" w:sz="6" w:space="0" w:color="auto"/>
              <w:left w:val="single" w:sz="6" w:space="0" w:color="auto"/>
              <w:bottom w:val="single" w:sz="6" w:space="0" w:color="auto"/>
              <w:right w:val="single" w:sz="6" w:space="0" w:color="auto"/>
            </w:tcBorders>
            <w:shd w:val="clear" w:color="auto" w:fill="173F35" w:themeFill="accent1"/>
            <w:hideMark/>
          </w:tcPr>
          <w:p w14:paraId="23BC0100" w14:textId="77777777" w:rsidR="007B5347" w:rsidRPr="0013422C" w:rsidRDefault="007B5347" w:rsidP="003A16D3">
            <w:pPr>
              <w:spacing w:before="0" w:after="0" w:line="240" w:lineRule="auto"/>
              <w:textAlignment w:val="baseline"/>
              <w:rPr>
                <w:rFonts w:eastAsia="Times New Roman" w:cs="Times New Roman"/>
                <w:b/>
                <w:bCs/>
                <w:color w:val="000000"/>
                <w:lang w:eastAsia="en-AU"/>
              </w:rPr>
            </w:pPr>
            <w:r w:rsidRPr="0013422C">
              <w:rPr>
                <w:rFonts w:eastAsia="Times New Roman" w:cs="Times New Roman"/>
                <w:b/>
                <w:bCs/>
                <w:color w:val="FFFFFF"/>
                <w:lang w:eastAsia="en-AU"/>
              </w:rPr>
              <w:t>Skills: Improving Workforce Capability </w:t>
            </w:r>
          </w:p>
        </w:tc>
        <w:tc>
          <w:tcPr>
            <w:tcW w:w="3268" w:type="dxa"/>
            <w:tcBorders>
              <w:top w:val="single" w:sz="6" w:space="0" w:color="auto"/>
              <w:left w:val="single" w:sz="6" w:space="0" w:color="auto"/>
              <w:bottom w:val="single" w:sz="6" w:space="0" w:color="auto"/>
              <w:right w:val="single" w:sz="6" w:space="0" w:color="auto"/>
            </w:tcBorders>
            <w:shd w:val="clear" w:color="auto" w:fill="173F35" w:themeFill="accent1"/>
            <w:hideMark/>
          </w:tcPr>
          <w:p w14:paraId="7E7F3350" w14:textId="77777777" w:rsidR="007B5347" w:rsidRPr="0013422C" w:rsidRDefault="007B5347" w:rsidP="003A16D3">
            <w:pPr>
              <w:spacing w:before="0" w:after="0" w:line="240" w:lineRule="auto"/>
              <w:textAlignment w:val="baseline"/>
              <w:rPr>
                <w:rFonts w:eastAsia="Times New Roman" w:cs="Times New Roman"/>
                <w:b/>
                <w:bCs/>
                <w:color w:val="000000"/>
                <w:lang w:eastAsia="en-AU"/>
              </w:rPr>
            </w:pPr>
            <w:r w:rsidRPr="0013422C">
              <w:rPr>
                <w:rFonts w:eastAsia="Times New Roman" w:cs="Times New Roman"/>
                <w:b/>
                <w:bCs/>
                <w:color w:val="FFFFFF"/>
                <w:lang w:eastAsia="en-AU"/>
              </w:rPr>
              <w:t>Career of Choice: Promoting the Visitor Economy </w:t>
            </w:r>
          </w:p>
        </w:tc>
      </w:tr>
      <w:tr w:rsidR="007B5347" w:rsidRPr="0013422C" w14:paraId="5DB66C37" w14:textId="77777777" w:rsidTr="007A3AFB">
        <w:trPr>
          <w:trHeight w:val="307"/>
          <w:jc w:val="center"/>
        </w:trPr>
        <w:tc>
          <w:tcPr>
            <w:tcW w:w="15594" w:type="dxa"/>
            <w:gridSpan w:val="7"/>
            <w:tcBorders>
              <w:top w:val="single" w:sz="6" w:space="0" w:color="auto"/>
              <w:left w:val="single" w:sz="6" w:space="0" w:color="auto"/>
              <w:bottom w:val="single" w:sz="6" w:space="0" w:color="auto"/>
              <w:right w:val="single" w:sz="6" w:space="0" w:color="auto"/>
            </w:tcBorders>
            <w:shd w:val="clear" w:color="auto" w:fill="216644" w:themeFill="accent3"/>
            <w:hideMark/>
          </w:tcPr>
          <w:p w14:paraId="71AEE5E5" w14:textId="77777777" w:rsidR="007B5347" w:rsidRPr="0013422C" w:rsidRDefault="007B5347" w:rsidP="007A3AFB">
            <w:pPr>
              <w:spacing w:before="0" w:after="0" w:line="240" w:lineRule="auto"/>
              <w:jc w:val="center"/>
              <w:textAlignment w:val="baseline"/>
              <w:rPr>
                <w:rFonts w:eastAsia="Times New Roman" w:cs="Times New Roman"/>
                <w:color w:val="000000"/>
                <w:sz w:val="16"/>
                <w:szCs w:val="16"/>
                <w:lang w:eastAsia="en-AU"/>
              </w:rPr>
            </w:pPr>
            <w:r w:rsidRPr="0013422C">
              <w:rPr>
                <w:rFonts w:eastAsia="Times New Roman" w:cs="Times New Roman"/>
                <w:color w:val="FFFFFF" w:themeColor="background1"/>
                <w:lang w:eastAsia="en-AU"/>
              </w:rPr>
              <w:t>OBJECTIVE</w:t>
            </w:r>
          </w:p>
        </w:tc>
      </w:tr>
      <w:tr w:rsidR="007B5347" w:rsidRPr="0013422C" w14:paraId="4F78E94C" w14:textId="77777777" w:rsidTr="00095940">
        <w:trPr>
          <w:jc w:val="center"/>
        </w:trPr>
        <w:tc>
          <w:tcPr>
            <w:tcW w:w="3262" w:type="dxa"/>
            <w:gridSpan w:val="2"/>
            <w:tcBorders>
              <w:top w:val="single" w:sz="6" w:space="0" w:color="auto"/>
              <w:left w:val="single" w:sz="6" w:space="0" w:color="auto"/>
              <w:bottom w:val="single" w:sz="6" w:space="0" w:color="auto"/>
              <w:right w:val="single" w:sz="6" w:space="0" w:color="auto"/>
            </w:tcBorders>
            <w:shd w:val="clear" w:color="auto" w:fill="auto"/>
            <w:hideMark/>
          </w:tcPr>
          <w:p w14:paraId="3A6254B8" w14:textId="77777777" w:rsidR="007B5347" w:rsidRPr="0013422C" w:rsidRDefault="007B5347" w:rsidP="00872FB1">
            <w:pPr>
              <w:spacing w:before="0" w:after="0" w:line="240" w:lineRule="auto"/>
              <w:textAlignment w:val="baseline"/>
              <w:rPr>
                <w:rFonts w:eastAsia="Times New Roman" w:cs="Times New Roman"/>
                <w:color w:val="000000"/>
                <w:sz w:val="16"/>
                <w:szCs w:val="16"/>
                <w:lang w:eastAsia="en-AU"/>
              </w:rPr>
            </w:pPr>
            <w:r w:rsidRPr="007D74CB">
              <w:rPr>
                <w:sz w:val="16"/>
                <w:szCs w:val="16"/>
                <w:lang w:eastAsia="en-AU"/>
              </w:rPr>
              <w:t>Improve structural challenges faced by the visitor economy.</w:t>
            </w:r>
            <w:r w:rsidRPr="0013422C">
              <w:rPr>
                <w:rFonts w:eastAsia="Times New Roman" w:cs="Times New Roman"/>
                <w:color w:val="000000"/>
                <w:sz w:val="16"/>
                <w:szCs w:val="16"/>
                <w:lang w:eastAsia="en-AU"/>
              </w:rPr>
              <w:t> </w:t>
            </w:r>
          </w:p>
        </w:tc>
        <w:tc>
          <w:tcPr>
            <w:tcW w:w="3309" w:type="dxa"/>
            <w:tcBorders>
              <w:top w:val="single" w:sz="6" w:space="0" w:color="auto"/>
              <w:left w:val="single" w:sz="6" w:space="0" w:color="auto"/>
              <w:bottom w:val="single" w:sz="6" w:space="0" w:color="auto"/>
              <w:right w:val="single" w:sz="6" w:space="0" w:color="auto"/>
            </w:tcBorders>
            <w:shd w:val="clear" w:color="auto" w:fill="auto"/>
            <w:hideMark/>
          </w:tcPr>
          <w:p w14:paraId="6958EF68" w14:textId="77777777" w:rsidR="007B5347" w:rsidRPr="0013422C" w:rsidRDefault="007B5347" w:rsidP="00872FB1">
            <w:pPr>
              <w:spacing w:before="0" w:after="0" w:line="240" w:lineRule="auto"/>
              <w:textAlignment w:val="baseline"/>
              <w:rPr>
                <w:rFonts w:eastAsia="Times New Roman" w:cs="Times New Roman"/>
                <w:color w:val="000000"/>
                <w:sz w:val="16"/>
                <w:szCs w:val="16"/>
                <w:lang w:eastAsia="en-AU"/>
              </w:rPr>
            </w:pPr>
            <w:r w:rsidRPr="007D74CB">
              <w:rPr>
                <w:sz w:val="16"/>
                <w:szCs w:val="16"/>
                <w:lang w:eastAsia="en-AU"/>
              </w:rPr>
              <w:t>The visitor economy has access to a secure and resilient domestic workforce.</w:t>
            </w:r>
            <w:r w:rsidRPr="0013422C">
              <w:rPr>
                <w:rFonts w:eastAsia="Times New Roman" w:cs="Times New Roman"/>
                <w:color w:val="000000"/>
                <w:sz w:val="16"/>
                <w:szCs w:val="16"/>
                <w:lang w:eastAsia="en-AU"/>
              </w:rPr>
              <w:t> </w:t>
            </w:r>
          </w:p>
        </w:tc>
        <w:tc>
          <w:tcPr>
            <w:tcW w:w="2832" w:type="dxa"/>
            <w:tcBorders>
              <w:top w:val="single" w:sz="6" w:space="0" w:color="auto"/>
              <w:left w:val="single" w:sz="6" w:space="0" w:color="auto"/>
              <w:bottom w:val="single" w:sz="6" w:space="0" w:color="auto"/>
              <w:right w:val="single" w:sz="6" w:space="0" w:color="auto"/>
            </w:tcBorders>
            <w:shd w:val="clear" w:color="auto" w:fill="auto"/>
            <w:hideMark/>
          </w:tcPr>
          <w:p w14:paraId="13E55D73" w14:textId="77777777" w:rsidR="007B5347" w:rsidRPr="0013422C" w:rsidRDefault="007B5347" w:rsidP="00872FB1">
            <w:pPr>
              <w:spacing w:before="0" w:after="0" w:line="240" w:lineRule="auto"/>
              <w:textAlignment w:val="baseline"/>
              <w:rPr>
                <w:rFonts w:eastAsia="Times New Roman" w:cs="Times New Roman"/>
                <w:color w:val="000000"/>
                <w:sz w:val="16"/>
                <w:szCs w:val="16"/>
                <w:lang w:eastAsia="en-AU"/>
              </w:rPr>
            </w:pPr>
            <w:r w:rsidRPr="007D74CB">
              <w:rPr>
                <w:sz w:val="16"/>
                <w:szCs w:val="16"/>
                <w:lang w:eastAsia="en-AU"/>
              </w:rPr>
              <w:t xml:space="preserve">Australia is an attractive destination for an </w:t>
            </w:r>
            <w:r>
              <w:rPr>
                <w:sz w:val="16"/>
                <w:szCs w:val="16"/>
                <w:lang w:eastAsia="en-AU"/>
              </w:rPr>
              <w:t>international</w:t>
            </w:r>
            <w:r w:rsidRPr="007D74CB">
              <w:rPr>
                <w:sz w:val="16"/>
                <w:szCs w:val="16"/>
                <w:lang w:eastAsia="en-AU"/>
              </w:rPr>
              <w:t xml:space="preserve"> workforce.</w:t>
            </w:r>
            <w:r w:rsidRPr="0013422C">
              <w:rPr>
                <w:rFonts w:eastAsia="Times New Roman" w:cs="Times New Roman"/>
                <w:color w:val="000000"/>
                <w:sz w:val="16"/>
                <w:szCs w:val="16"/>
                <w:lang w:eastAsia="en-AU"/>
              </w:rPr>
              <w:t> </w:t>
            </w:r>
          </w:p>
        </w:tc>
        <w:tc>
          <w:tcPr>
            <w:tcW w:w="2923" w:type="dxa"/>
            <w:gridSpan w:val="2"/>
            <w:tcBorders>
              <w:top w:val="single" w:sz="6" w:space="0" w:color="auto"/>
              <w:left w:val="single" w:sz="6" w:space="0" w:color="auto"/>
              <w:bottom w:val="single" w:sz="6" w:space="0" w:color="auto"/>
              <w:right w:val="single" w:sz="6" w:space="0" w:color="auto"/>
            </w:tcBorders>
            <w:shd w:val="clear" w:color="auto" w:fill="auto"/>
            <w:hideMark/>
          </w:tcPr>
          <w:p w14:paraId="613EB122" w14:textId="77777777" w:rsidR="007B5347" w:rsidRPr="007D74CB" w:rsidRDefault="007B5347" w:rsidP="00872FB1">
            <w:pPr>
              <w:spacing w:before="0" w:after="0" w:line="240" w:lineRule="auto"/>
              <w:textAlignment w:val="baseline"/>
              <w:rPr>
                <w:sz w:val="16"/>
                <w:szCs w:val="16"/>
                <w:lang w:eastAsia="en-AU"/>
              </w:rPr>
            </w:pPr>
            <w:r w:rsidRPr="072BE168">
              <w:rPr>
                <w:sz w:val="16"/>
                <w:szCs w:val="16"/>
                <w:lang w:eastAsia="en-AU"/>
              </w:rPr>
              <w:t xml:space="preserve">The visitor economy is resourced with a modern and well skilled workforce </w:t>
            </w:r>
            <w:r w:rsidRPr="00714294">
              <w:rPr>
                <w:sz w:val="16"/>
                <w:szCs w:val="16"/>
                <w:lang w:eastAsia="en-AU"/>
              </w:rPr>
              <w:t>that is</w:t>
            </w:r>
            <w:r w:rsidRPr="00472AC2">
              <w:rPr>
                <w:sz w:val="16"/>
                <w:szCs w:val="16"/>
                <w:lang w:eastAsia="en-AU"/>
              </w:rPr>
              <w:t xml:space="preserve"> </w:t>
            </w:r>
            <w:r w:rsidRPr="009C2856">
              <w:rPr>
                <w:rFonts w:eastAsia="Segoe UI" w:cs="Segoe UI"/>
                <w:sz w:val="16"/>
                <w:szCs w:val="16"/>
              </w:rPr>
              <w:t xml:space="preserve">resilient and adaptable when faced with </w:t>
            </w:r>
            <w:r w:rsidRPr="00472AC2">
              <w:rPr>
                <w:sz w:val="16"/>
                <w:szCs w:val="16"/>
                <w:lang w:eastAsia="en-AU"/>
              </w:rPr>
              <w:t>changing market forces. </w:t>
            </w:r>
          </w:p>
        </w:tc>
        <w:tc>
          <w:tcPr>
            <w:tcW w:w="3268" w:type="dxa"/>
            <w:tcBorders>
              <w:top w:val="single" w:sz="6" w:space="0" w:color="auto"/>
              <w:left w:val="single" w:sz="6" w:space="0" w:color="auto"/>
              <w:bottom w:val="single" w:sz="6" w:space="0" w:color="auto"/>
              <w:right w:val="single" w:sz="6" w:space="0" w:color="auto"/>
            </w:tcBorders>
            <w:shd w:val="clear" w:color="auto" w:fill="auto"/>
            <w:hideMark/>
          </w:tcPr>
          <w:p w14:paraId="3D1E5392" w14:textId="77777777" w:rsidR="007B5347" w:rsidRPr="007D74CB" w:rsidRDefault="007B5347" w:rsidP="00872FB1">
            <w:pPr>
              <w:spacing w:before="0" w:after="0" w:line="240" w:lineRule="auto"/>
              <w:textAlignment w:val="baseline"/>
              <w:rPr>
                <w:sz w:val="16"/>
                <w:szCs w:val="16"/>
                <w:lang w:eastAsia="en-AU"/>
              </w:rPr>
            </w:pPr>
            <w:r w:rsidRPr="007D74CB">
              <w:rPr>
                <w:sz w:val="16"/>
                <w:szCs w:val="16"/>
                <w:lang w:eastAsia="en-AU"/>
              </w:rPr>
              <w:t>The visitor economy is an attractive career choice with multiple professional pathways. </w:t>
            </w:r>
          </w:p>
        </w:tc>
      </w:tr>
      <w:tr w:rsidR="007B5347" w:rsidRPr="0013422C" w14:paraId="0B9AF6B7" w14:textId="77777777" w:rsidTr="007B5347">
        <w:trPr>
          <w:trHeight w:val="209"/>
          <w:jc w:val="center"/>
        </w:trPr>
        <w:tc>
          <w:tcPr>
            <w:tcW w:w="15594" w:type="dxa"/>
            <w:gridSpan w:val="7"/>
            <w:tcBorders>
              <w:top w:val="single" w:sz="6" w:space="0" w:color="auto"/>
              <w:left w:val="single" w:sz="6" w:space="0" w:color="auto"/>
              <w:bottom w:val="single" w:sz="6" w:space="0" w:color="auto"/>
              <w:right w:val="single" w:sz="6" w:space="0" w:color="auto"/>
            </w:tcBorders>
            <w:shd w:val="clear" w:color="auto" w:fill="216644" w:themeFill="accent3"/>
          </w:tcPr>
          <w:p w14:paraId="6C9AD99B" w14:textId="77777777" w:rsidR="007B5347" w:rsidRPr="007D74CB" w:rsidRDefault="007B5347" w:rsidP="007A3AFB">
            <w:pPr>
              <w:spacing w:before="0" w:after="0" w:line="240" w:lineRule="auto"/>
              <w:jc w:val="center"/>
              <w:textAlignment w:val="baseline"/>
              <w:rPr>
                <w:sz w:val="16"/>
                <w:szCs w:val="16"/>
                <w:lang w:eastAsia="en-AU"/>
              </w:rPr>
            </w:pPr>
            <w:r>
              <w:rPr>
                <w:rFonts w:eastAsia="Times New Roman" w:cs="Times New Roman"/>
                <w:color w:val="FFFFFF" w:themeColor="background1"/>
                <w:lang w:eastAsia="en-AU"/>
              </w:rPr>
              <w:t>FUTURE OPPORTUNITIES FOR PROGRESS</w:t>
            </w:r>
          </w:p>
        </w:tc>
      </w:tr>
      <w:tr w:rsidR="007B5347" w:rsidRPr="0013422C" w14:paraId="2A41E66E" w14:textId="77777777" w:rsidTr="00095940">
        <w:trPr>
          <w:trHeight w:val="3912"/>
          <w:jc w:val="center"/>
        </w:trPr>
        <w:tc>
          <w:tcPr>
            <w:tcW w:w="3262" w:type="dxa"/>
            <w:gridSpan w:val="2"/>
            <w:tcBorders>
              <w:top w:val="single" w:sz="6" w:space="0" w:color="auto"/>
              <w:left w:val="single" w:sz="6" w:space="0" w:color="auto"/>
              <w:bottom w:val="single" w:sz="6" w:space="0" w:color="auto"/>
              <w:right w:val="single" w:sz="6" w:space="0" w:color="auto"/>
            </w:tcBorders>
            <w:shd w:val="clear" w:color="auto" w:fill="auto"/>
          </w:tcPr>
          <w:p w14:paraId="52F77111" w14:textId="77777777" w:rsidR="007B5347" w:rsidRPr="008303EE" w:rsidRDefault="007B5347" w:rsidP="007B5347">
            <w:pPr>
              <w:pStyle w:val="ListParagraph"/>
              <w:numPr>
                <w:ilvl w:val="0"/>
                <w:numId w:val="7"/>
              </w:numPr>
              <w:spacing w:before="0" w:after="0" w:line="240" w:lineRule="auto"/>
              <w:ind w:left="419" w:hanging="357"/>
              <w:textAlignment w:val="baseline"/>
              <w:rPr>
                <w:sz w:val="16"/>
                <w:szCs w:val="16"/>
                <w:lang w:eastAsia="en-AU"/>
              </w:rPr>
            </w:pPr>
            <w:r w:rsidRPr="072BE168">
              <w:rPr>
                <w:sz w:val="16"/>
                <w:szCs w:val="16"/>
                <w:lang w:eastAsia="en-AU"/>
              </w:rPr>
              <w:t>Consider structural issues around visitor economy roles including wages, job security</w:t>
            </w:r>
            <w:r w:rsidRPr="00714294">
              <w:rPr>
                <w:sz w:val="16"/>
                <w:szCs w:val="16"/>
                <w:lang w:eastAsia="en-AU"/>
              </w:rPr>
              <w:t>, working conditions and perceived lack of long-term career options</w:t>
            </w:r>
            <w:r w:rsidRPr="072BE168">
              <w:rPr>
                <w:sz w:val="16"/>
                <w:szCs w:val="16"/>
                <w:lang w:eastAsia="en-AU"/>
              </w:rPr>
              <w:t>. These were also findings in the</w:t>
            </w:r>
            <w:r w:rsidRPr="072BE168">
              <w:rPr>
                <w:i/>
                <w:iCs/>
                <w:sz w:val="16"/>
                <w:szCs w:val="16"/>
                <w:lang w:eastAsia="en-AU"/>
              </w:rPr>
              <w:t xml:space="preserve"> Reimagining the Visitor Economy Expert Panel Report.</w:t>
            </w:r>
          </w:p>
          <w:p w14:paraId="79B987EB" w14:textId="77777777" w:rsidR="007B5347" w:rsidRPr="008303EE" w:rsidRDefault="007B5347" w:rsidP="007B5347">
            <w:pPr>
              <w:pStyle w:val="ListParagraph"/>
              <w:numPr>
                <w:ilvl w:val="0"/>
                <w:numId w:val="7"/>
              </w:numPr>
              <w:spacing w:before="0" w:after="0" w:line="240" w:lineRule="auto"/>
              <w:ind w:left="419" w:hanging="357"/>
              <w:contextualSpacing w:val="0"/>
              <w:textAlignment w:val="baseline"/>
              <w:rPr>
                <w:sz w:val="16"/>
                <w:szCs w:val="16"/>
                <w:lang w:eastAsia="en-AU"/>
              </w:rPr>
            </w:pPr>
            <w:r>
              <w:rPr>
                <w:sz w:val="16"/>
                <w:szCs w:val="16"/>
                <w:lang w:eastAsia="en-AU"/>
              </w:rPr>
              <w:t>Consider structural barriers, such as the lack of affordable housing particularly in the regions, which present issues to achieving a more secure workforce.</w:t>
            </w:r>
          </w:p>
          <w:p w14:paraId="5DA02E0B" w14:textId="77777777" w:rsidR="007B5347" w:rsidRDefault="007B5347" w:rsidP="008267F2">
            <w:pPr>
              <w:spacing w:after="0" w:line="240" w:lineRule="auto"/>
              <w:textAlignment w:val="baseline"/>
              <w:rPr>
                <w:sz w:val="16"/>
                <w:szCs w:val="16"/>
                <w:lang w:eastAsia="en-AU"/>
              </w:rPr>
            </w:pPr>
          </w:p>
          <w:p w14:paraId="65133695" w14:textId="77777777" w:rsidR="007B5347" w:rsidRPr="007D74CB" w:rsidRDefault="007B5347" w:rsidP="008267F2">
            <w:pPr>
              <w:spacing w:after="0" w:line="240" w:lineRule="auto"/>
              <w:textAlignment w:val="baseline"/>
              <w:rPr>
                <w:sz w:val="16"/>
                <w:szCs w:val="16"/>
                <w:lang w:eastAsia="en-AU"/>
              </w:rPr>
            </w:pPr>
          </w:p>
        </w:tc>
        <w:tc>
          <w:tcPr>
            <w:tcW w:w="3309" w:type="dxa"/>
            <w:tcBorders>
              <w:top w:val="single" w:sz="6" w:space="0" w:color="auto"/>
              <w:left w:val="single" w:sz="6" w:space="0" w:color="auto"/>
              <w:bottom w:val="single" w:sz="6" w:space="0" w:color="auto"/>
              <w:right w:val="single" w:sz="6" w:space="0" w:color="auto"/>
            </w:tcBorders>
            <w:shd w:val="clear" w:color="auto" w:fill="auto"/>
          </w:tcPr>
          <w:p w14:paraId="2D21E31F" w14:textId="77777777" w:rsidR="007B5347" w:rsidRDefault="007B5347" w:rsidP="007B5347">
            <w:pPr>
              <w:pStyle w:val="ListParagraph"/>
              <w:numPr>
                <w:ilvl w:val="0"/>
                <w:numId w:val="11"/>
              </w:numPr>
              <w:spacing w:before="0" w:after="0" w:line="240" w:lineRule="auto"/>
              <w:ind w:left="431" w:hanging="425"/>
              <w:contextualSpacing w:val="0"/>
              <w:textAlignment w:val="baseline"/>
              <w:rPr>
                <w:sz w:val="16"/>
                <w:szCs w:val="16"/>
                <w:lang w:eastAsia="en-AU"/>
              </w:rPr>
            </w:pPr>
            <w:r>
              <w:rPr>
                <w:sz w:val="16"/>
                <w:szCs w:val="16"/>
                <w:lang w:eastAsia="en-AU"/>
              </w:rPr>
              <w:t>Seek opportunities to see how domestic workers could be brought back to the visitor economy, including the</w:t>
            </w:r>
            <w:r w:rsidRPr="008303EE">
              <w:rPr>
                <w:sz w:val="16"/>
                <w:szCs w:val="16"/>
                <w:lang w:eastAsia="en-AU"/>
              </w:rPr>
              <w:t xml:space="preserve"> domestic workers </w:t>
            </w:r>
            <w:r>
              <w:rPr>
                <w:sz w:val="16"/>
                <w:szCs w:val="16"/>
                <w:lang w:eastAsia="en-AU"/>
              </w:rPr>
              <w:t xml:space="preserve">that </w:t>
            </w:r>
            <w:r w:rsidRPr="008303EE">
              <w:rPr>
                <w:sz w:val="16"/>
                <w:szCs w:val="16"/>
                <w:lang w:eastAsia="en-AU"/>
              </w:rPr>
              <w:t xml:space="preserve">moved </w:t>
            </w:r>
            <w:r>
              <w:rPr>
                <w:sz w:val="16"/>
                <w:szCs w:val="16"/>
                <w:lang w:eastAsia="en-AU"/>
              </w:rPr>
              <w:t xml:space="preserve">out of the visitor economy during the pandemic </w:t>
            </w:r>
            <w:r w:rsidRPr="008303EE">
              <w:rPr>
                <w:sz w:val="16"/>
                <w:szCs w:val="16"/>
                <w:lang w:eastAsia="en-AU"/>
              </w:rPr>
              <w:t xml:space="preserve">to </w:t>
            </w:r>
            <w:r>
              <w:rPr>
                <w:sz w:val="16"/>
                <w:szCs w:val="16"/>
                <w:lang w:eastAsia="en-AU"/>
              </w:rPr>
              <w:t xml:space="preserve">more secure and better paying </w:t>
            </w:r>
            <w:r w:rsidRPr="008303EE">
              <w:rPr>
                <w:sz w:val="16"/>
                <w:szCs w:val="16"/>
                <w:lang w:eastAsia="en-AU"/>
              </w:rPr>
              <w:t xml:space="preserve">sectors. </w:t>
            </w:r>
          </w:p>
          <w:p w14:paraId="0812F2CF" w14:textId="77777777" w:rsidR="007B5347" w:rsidRDefault="007B5347" w:rsidP="007B5347">
            <w:pPr>
              <w:pStyle w:val="ListParagraph"/>
              <w:numPr>
                <w:ilvl w:val="0"/>
                <w:numId w:val="11"/>
              </w:numPr>
              <w:spacing w:before="0" w:after="0" w:line="240" w:lineRule="auto"/>
              <w:ind w:left="431" w:hanging="425"/>
              <w:textAlignment w:val="baseline"/>
              <w:rPr>
                <w:sz w:val="16"/>
                <w:szCs w:val="16"/>
                <w:lang w:eastAsia="en-AU"/>
              </w:rPr>
            </w:pPr>
            <w:r w:rsidRPr="0A775CA7">
              <w:rPr>
                <w:sz w:val="16"/>
                <w:szCs w:val="16"/>
                <w:lang w:eastAsia="en-AU"/>
              </w:rPr>
              <w:t xml:space="preserve">Identify and market the visitor economy to underrepresented cohorts such as older Australians, First Nations Australians, </w:t>
            </w:r>
            <w:proofErr w:type="gramStart"/>
            <w:r w:rsidRPr="0A775CA7">
              <w:rPr>
                <w:sz w:val="16"/>
                <w:szCs w:val="16"/>
                <w:lang w:eastAsia="en-AU"/>
              </w:rPr>
              <w:t>women</w:t>
            </w:r>
            <w:proofErr w:type="gramEnd"/>
            <w:r w:rsidRPr="0A775CA7">
              <w:rPr>
                <w:sz w:val="16"/>
                <w:szCs w:val="16"/>
                <w:lang w:eastAsia="en-AU"/>
              </w:rPr>
              <w:t xml:space="preserve"> and those with disability, as a viable employment option</w:t>
            </w:r>
            <w:r>
              <w:rPr>
                <w:sz w:val="16"/>
                <w:szCs w:val="16"/>
                <w:lang w:eastAsia="en-AU"/>
              </w:rPr>
              <w:t>.</w:t>
            </w:r>
          </w:p>
          <w:p w14:paraId="59F99ACE" w14:textId="77777777" w:rsidR="007B5347" w:rsidRPr="00A533FB" w:rsidRDefault="007B5347" w:rsidP="007B5347">
            <w:pPr>
              <w:pStyle w:val="ListParagraph"/>
              <w:numPr>
                <w:ilvl w:val="0"/>
                <w:numId w:val="11"/>
              </w:numPr>
              <w:spacing w:before="0" w:after="0" w:line="240" w:lineRule="auto"/>
              <w:ind w:left="431" w:hanging="425"/>
              <w:contextualSpacing w:val="0"/>
              <w:textAlignment w:val="baseline"/>
              <w:rPr>
                <w:lang w:eastAsia="en-AU"/>
              </w:rPr>
            </w:pPr>
            <w:r>
              <w:rPr>
                <w:sz w:val="16"/>
                <w:szCs w:val="16"/>
                <w:lang w:eastAsia="en-AU"/>
              </w:rPr>
              <w:t xml:space="preserve">Tourism Training Australia/ACCI’s </w:t>
            </w:r>
            <w:r w:rsidRPr="00426F21">
              <w:rPr>
                <w:i/>
                <w:iCs/>
                <w:sz w:val="16"/>
                <w:szCs w:val="16"/>
              </w:rPr>
              <w:t>Tourism &amp; Hospitality Workforce Development Strategy</w:t>
            </w:r>
            <w:r>
              <w:rPr>
                <w:sz w:val="16"/>
                <w:szCs w:val="16"/>
                <w:lang w:eastAsia="en-AU"/>
              </w:rPr>
              <w:t xml:space="preserve"> has identified that more needs to be done to encourage underrepresented cohorts into the tourism workforce.</w:t>
            </w:r>
          </w:p>
          <w:p w14:paraId="1281E0B2" w14:textId="77777777" w:rsidR="007B5347" w:rsidRPr="007A3AFB" w:rsidRDefault="007B5347" w:rsidP="008267F2">
            <w:pPr>
              <w:pStyle w:val="ListParagraph"/>
              <w:numPr>
                <w:ilvl w:val="0"/>
                <w:numId w:val="11"/>
              </w:numPr>
              <w:spacing w:before="0" w:after="0" w:line="240" w:lineRule="auto"/>
              <w:ind w:left="431" w:hanging="425"/>
              <w:contextualSpacing w:val="0"/>
              <w:textAlignment w:val="baseline"/>
              <w:rPr>
                <w:lang w:eastAsia="en-AU"/>
              </w:rPr>
            </w:pPr>
            <w:r w:rsidRPr="00714294">
              <w:rPr>
                <w:sz w:val="16"/>
                <w:szCs w:val="16"/>
                <w:lang w:eastAsia="en-AU"/>
              </w:rPr>
              <w:t xml:space="preserve">Improve opportunities for Vocational Education and Training (VET) students to complete tourism qualifications through working with </w:t>
            </w:r>
            <w:r>
              <w:rPr>
                <w:sz w:val="16"/>
                <w:szCs w:val="16"/>
                <w:lang w:eastAsia="en-AU"/>
              </w:rPr>
              <w:t>s</w:t>
            </w:r>
            <w:r w:rsidRPr="00714294">
              <w:rPr>
                <w:sz w:val="16"/>
                <w:szCs w:val="16"/>
                <w:lang w:eastAsia="en-AU"/>
              </w:rPr>
              <w:t xml:space="preserve">tates and </w:t>
            </w:r>
            <w:r>
              <w:rPr>
                <w:sz w:val="16"/>
                <w:szCs w:val="16"/>
                <w:lang w:eastAsia="en-AU"/>
              </w:rPr>
              <w:t>t</w:t>
            </w:r>
            <w:r w:rsidRPr="00714294">
              <w:rPr>
                <w:sz w:val="16"/>
                <w:szCs w:val="16"/>
                <w:lang w:eastAsia="en-AU"/>
              </w:rPr>
              <w:t>erritories on traineeships and apprenticeships.</w:t>
            </w:r>
          </w:p>
          <w:p w14:paraId="3DAE7232" w14:textId="77777777" w:rsidR="007A3AFB" w:rsidRDefault="007A3AFB" w:rsidP="007A3AFB">
            <w:pPr>
              <w:spacing w:before="0" w:after="0" w:line="240" w:lineRule="auto"/>
              <w:textAlignment w:val="baseline"/>
              <w:rPr>
                <w:lang w:eastAsia="en-AU"/>
              </w:rPr>
            </w:pPr>
          </w:p>
          <w:p w14:paraId="3AAE488A" w14:textId="77777777" w:rsidR="007A3AFB" w:rsidRDefault="007A3AFB" w:rsidP="007A3AFB">
            <w:pPr>
              <w:spacing w:before="0" w:after="0" w:line="240" w:lineRule="auto"/>
              <w:textAlignment w:val="baseline"/>
              <w:rPr>
                <w:lang w:eastAsia="en-AU"/>
              </w:rPr>
            </w:pPr>
          </w:p>
          <w:p w14:paraId="4D209130" w14:textId="16F54735" w:rsidR="007A3AFB" w:rsidRPr="007A3AFB" w:rsidRDefault="007A3AFB" w:rsidP="007A3AFB">
            <w:pPr>
              <w:spacing w:before="0" w:after="0" w:line="240" w:lineRule="auto"/>
              <w:textAlignment w:val="baseline"/>
              <w:rPr>
                <w:lang w:eastAsia="en-AU"/>
              </w:rPr>
            </w:pPr>
          </w:p>
        </w:tc>
        <w:tc>
          <w:tcPr>
            <w:tcW w:w="2832" w:type="dxa"/>
            <w:tcBorders>
              <w:top w:val="single" w:sz="6" w:space="0" w:color="auto"/>
              <w:left w:val="single" w:sz="6" w:space="0" w:color="auto"/>
              <w:bottom w:val="single" w:sz="6" w:space="0" w:color="auto"/>
              <w:right w:val="single" w:sz="6" w:space="0" w:color="auto"/>
            </w:tcBorders>
            <w:shd w:val="clear" w:color="auto" w:fill="auto"/>
          </w:tcPr>
          <w:p w14:paraId="756EABB0" w14:textId="77777777" w:rsidR="007B5347" w:rsidRDefault="007B5347" w:rsidP="007B5347">
            <w:pPr>
              <w:pStyle w:val="ListParagraph"/>
              <w:numPr>
                <w:ilvl w:val="0"/>
                <w:numId w:val="8"/>
              </w:numPr>
              <w:spacing w:before="0" w:after="0" w:line="240" w:lineRule="auto"/>
              <w:ind w:left="380" w:hanging="357"/>
              <w:rPr>
                <w:sz w:val="16"/>
                <w:szCs w:val="16"/>
                <w:lang w:eastAsia="en-AU"/>
              </w:rPr>
            </w:pPr>
            <w:r w:rsidRPr="00714294">
              <w:rPr>
                <w:sz w:val="16"/>
                <w:szCs w:val="16"/>
                <w:lang w:eastAsia="en-AU"/>
              </w:rPr>
              <w:t>Promote the Government’s future Migration Strategy, and associated reforms, to attract skilled migrants to Australia (led by Home Affairs).</w:t>
            </w:r>
          </w:p>
          <w:p w14:paraId="31BD6331" w14:textId="77777777" w:rsidR="007B5347" w:rsidRPr="008303EE" w:rsidRDefault="007B5347" w:rsidP="007B5347">
            <w:pPr>
              <w:pStyle w:val="ListParagraph"/>
              <w:numPr>
                <w:ilvl w:val="0"/>
                <w:numId w:val="8"/>
              </w:numPr>
              <w:spacing w:before="0" w:after="0" w:line="240" w:lineRule="auto"/>
              <w:ind w:left="380" w:hanging="357"/>
              <w:contextualSpacing w:val="0"/>
              <w:textAlignment w:val="baseline"/>
              <w:rPr>
                <w:sz w:val="16"/>
                <w:szCs w:val="16"/>
                <w:lang w:eastAsia="en-AU"/>
              </w:rPr>
            </w:pPr>
            <w:r>
              <w:rPr>
                <w:sz w:val="16"/>
                <w:szCs w:val="16"/>
                <w:lang w:eastAsia="en-AU"/>
              </w:rPr>
              <w:t>Better p</w:t>
            </w:r>
            <w:r w:rsidRPr="1A4F77AC">
              <w:rPr>
                <w:sz w:val="16"/>
                <w:szCs w:val="16"/>
                <w:lang w:eastAsia="en-AU"/>
              </w:rPr>
              <w:t xml:space="preserve">romote information about the </w:t>
            </w:r>
            <w:r>
              <w:rPr>
                <w:sz w:val="16"/>
                <w:szCs w:val="16"/>
                <w:lang w:eastAsia="en-AU"/>
              </w:rPr>
              <w:t>Pacific Australia Labour Mobility (</w:t>
            </w:r>
            <w:r w:rsidRPr="1A4F77AC">
              <w:rPr>
                <w:sz w:val="16"/>
                <w:szCs w:val="16"/>
                <w:lang w:eastAsia="en-AU"/>
              </w:rPr>
              <w:t>PALM</w:t>
            </w:r>
            <w:r>
              <w:rPr>
                <w:sz w:val="16"/>
                <w:szCs w:val="16"/>
                <w:lang w:eastAsia="en-AU"/>
              </w:rPr>
              <w:t>)</w:t>
            </w:r>
            <w:r w:rsidRPr="1A4F77AC">
              <w:rPr>
                <w:sz w:val="16"/>
                <w:szCs w:val="16"/>
                <w:lang w:eastAsia="en-AU"/>
              </w:rPr>
              <w:t xml:space="preserve"> scheme to businesses.</w:t>
            </w:r>
          </w:p>
          <w:p w14:paraId="49932A23" w14:textId="77777777" w:rsidR="007B5347" w:rsidRPr="007D74CB" w:rsidRDefault="007B5347" w:rsidP="008267F2">
            <w:pPr>
              <w:spacing w:after="0" w:line="240" w:lineRule="auto"/>
              <w:textAlignment w:val="baseline"/>
              <w:rPr>
                <w:sz w:val="16"/>
                <w:szCs w:val="16"/>
                <w:lang w:eastAsia="en-AU"/>
              </w:rPr>
            </w:pPr>
          </w:p>
        </w:tc>
        <w:tc>
          <w:tcPr>
            <w:tcW w:w="2923" w:type="dxa"/>
            <w:gridSpan w:val="2"/>
            <w:tcBorders>
              <w:top w:val="single" w:sz="6" w:space="0" w:color="auto"/>
              <w:left w:val="single" w:sz="6" w:space="0" w:color="auto"/>
              <w:bottom w:val="single" w:sz="6" w:space="0" w:color="auto"/>
              <w:right w:val="single" w:sz="6" w:space="0" w:color="auto"/>
            </w:tcBorders>
            <w:shd w:val="clear" w:color="auto" w:fill="auto"/>
          </w:tcPr>
          <w:p w14:paraId="2DC46AAA" w14:textId="77777777" w:rsidR="007B5347" w:rsidRDefault="007B5347" w:rsidP="007B5347">
            <w:pPr>
              <w:pStyle w:val="ListParagraph"/>
              <w:numPr>
                <w:ilvl w:val="0"/>
                <w:numId w:val="10"/>
              </w:numPr>
              <w:spacing w:before="0" w:after="0" w:line="240" w:lineRule="auto"/>
              <w:ind w:left="374" w:hanging="357"/>
              <w:rPr>
                <w:sz w:val="16"/>
                <w:szCs w:val="16"/>
                <w:lang w:eastAsia="en-AU"/>
              </w:rPr>
            </w:pPr>
            <w:r>
              <w:rPr>
                <w:sz w:val="16"/>
                <w:szCs w:val="16"/>
                <w:lang w:eastAsia="en-AU"/>
              </w:rPr>
              <w:t>Encourage</w:t>
            </w:r>
            <w:r w:rsidRPr="1CB825C9">
              <w:rPr>
                <w:sz w:val="16"/>
                <w:szCs w:val="16"/>
                <w:lang w:eastAsia="en-AU"/>
              </w:rPr>
              <w:t xml:space="preserve"> employers to provide further inclusive, </w:t>
            </w:r>
            <w:proofErr w:type="gramStart"/>
            <w:r w:rsidRPr="1CB825C9">
              <w:rPr>
                <w:sz w:val="16"/>
                <w:szCs w:val="16"/>
                <w:lang w:eastAsia="en-AU"/>
              </w:rPr>
              <w:t>accessible</w:t>
            </w:r>
            <w:proofErr w:type="gramEnd"/>
            <w:r w:rsidRPr="1CB825C9">
              <w:rPr>
                <w:sz w:val="16"/>
                <w:szCs w:val="16"/>
                <w:lang w:eastAsia="en-AU"/>
              </w:rPr>
              <w:t xml:space="preserve"> and culturally appropriate on the job training for staff and build business capability to grow capacity and invest in their business. Ensure accessibility of training and upskilling to those </w:t>
            </w:r>
            <w:r w:rsidRPr="00714294">
              <w:rPr>
                <w:sz w:val="16"/>
                <w:szCs w:val="16"/>
                <w:lang w:eastAsia="en-AU"/>
              </w:rPr>
              <w:t>cohorts</w:t>
            </w:r>
            <w:r>
              <w:rPr>
                <w:sz w:val="16"/>
                <w:szCs w:val="16"/>
                <w:lang w:eastAsia="en-AU"/>
              </w:rPr>
              <w:t xml:space="preserve"> </w:t>
            </w:r>
            <w:r w:rsidRPr="1CB825C9">
              <w:rPr>
                <w:sz w:val="16"/>
                <w:szCs w:val="16"/>
                <w:lang w:eastAsia="en-AU"/>
              </w:rPr>
              <w:t>who may face disproportionate barriers.</w:t>
            </w:r>
          </w:p>
          <w:p w14:paraId="77E63EF5" w14:textId="4E6281D8" w:rsidR="007B5347" w:rsidRPr="007A3AFB" w:rsidRDefault="007B5347" w:rsidP="008267F2">
            <w:pPr>
              <w:pStyle w:val="ListParagraph"/>
              <w:numPr>
                <w:ilvl w:val="0"/>
                <w:numId w:val="10"/>
              </w:numPr>
              <w:spacing w:before="0" w:after="0" w:line="240" w:lineRule="auto"/>
              <w:ind w:left="374" w:hanging="357"/>
              <w:contextualSpacing w:val="0"/>
              <w:textAlignment w:val="baseline"/>
              <w:rPr>
                <w:sz w:val="16"/>
                <w:szCs w:val="16"/>
                <w:lang w:eastAsia="en-AU"/>
              </w:rPr>
            </w:pPr>
            <w:r w:rsidRPr="1A4F77AC">
              <w:rPr>
                <w:rFonts w:eastAsia="Verdana" w:cs="Verdana"/>
                <w:sz w:val="16"/>
                <w:szCs w:val="16"/>
              </w:rPr>
              <w:t>Encourage mutual recognition</w:t>
            </w:r>
            <w:r>
              <w:rPr>
                <w:rFonts w:eastAsia="Verdana" w:cs="Verdana"/>
                <w:sz w:val="16"/>
                <w:szCs w:val="16"/>
              </w:rPr>
              <w:t xml:space="preserve"> by states and territories</w:t>
            </w:r>
            <w:r w:rsidRPr="1A4F77AC">
              <w:rPr>
                <w:rFonts w:eastAsia="Verdana" w:cs="Verdana"/>
                <w:sz w:val="16"/>
                <w:szCs w:val="16"/>
              </w:rPr>
              <w:t xml:space="preserve"> for foundational credentials to support mobility of workers across jurisdictions, especially in relation to seasonal hospitality work, and continue to identify opportunities for addressing cross-border skills challenges for visitor economy roles.</w:t>
            </w:r>
            <w:r>
              <w:rPr>
                <w:rFonts w:eastAsia="Verdana" w:cs="Verdana"/>
                <w:sz w:val="16"/>
                <w:szCs w:val="16"/>
              </w:rPr>
              <w:t xml:space="preserve"> </w:t>
            </w:r>
            <w:r>
              <w:rPr>
                <w:sz w:val="16"/>
                <w:szCs w:val="16"/>
                <w:lang w:eastAsia="en-AU"/>
              </w:rPr>
              <w:t>Tourism Training Australia/</w:t>
            </w:r>
            <w:r w:rsidRPr="1A4F77AC">
              <w:rPr>
                <w:sz w:val="16"/>
                <w:szCs w:val="16"/>
                <w:lang w:eastAsia="en-AU"/>
              </w:rPr>
              <w:t xml:space="preserve">ACCI’s </w:t>
            </w:r>
            <w:r w:rsidRPr="1A4F77AC">
              <w:rPr>
                <w:i/>
                <w:iCs/>
                <w:sz w:val="16"/>
                <w:szCs w:val="16"/>
              </w:rPr>
              <w:t>Tourism &amp; Hospitality Workforce Development Strategy</w:t>
            </w:r>
            <w:r w:rsidRPr="1A4F77AC">
              <w:rPr>
                <w:sz w:val="12"/>
                <w:szCs w:val="12"/>
                <w:lang w:eastAsia="en-AU"/>
              </w:rPr>
              <w:t xml:space="preserve"> </w:t>
            </w:r>
            <w:r w:rsidRPr="1A4F77AC">
              <w:rPr>
                <w:sz w:val="16"/>
                <w:szCs w:val="16"/>
                <w:lang w:eastAsia="en-AU"/>
              </w:rPr>
              <w:t>has identified a skills mismatch as a risk to the productivity benefit from investment in skills development.</w:t>
            </w:r>
          </w:p>
        </w:tc>
        <w:tc>
          <w:tcPr>
            <w:tcW w:w="3268" w:type="dxa"/>
            <w:tcBorders>
              <w:top w:val="single" w:sz="6" w:space="0" w:color="auto"/>
              <w:left w:val="single" w:sz="6" w:space="0" w:color="auto"/>
              <w:bottom w:val="single" w:sz="6" w:space="0" w:color="auto"/>
              <w:right w:val="single" w:sz="6" w:space="0" w:color="auto"/>
            </w:tcBorders>
            <w:shd w:val="clear" w:color="auto" w:fill="auto"/>
          </w:tcPr>
          <w:p w14:paraId="570A4359" w14:textId="77777777" w:rsidR="007B5347" w:rsidRPr="008303EE" w:rsidRDefault="007B5347" w:rsidP="007B5347">
            <w:pPr>
              <w:pStyle w:val="ListParagraph"/>
              <w:numPr>
                <w:ilvl w:val="0"/>
                <w:numId w:val="9"/>
              </w:numPr>
              <w:spacing w:before="0" w:after="0" w:line="240" w:lineRule="auto"/>
              <w:ind w:left="403"/>
              <w:contextualSpacing w:val="0"/>
              <w:textAlignment w:val="baseline"/>
              <w:rPr>
                <w:sz w:val="16"/>
                <w:szCs w:val="16"/>
                <w:lang w:eastAsia="en-AU"/>
              </w:rPr>
            </w:pPr>
            <w:r>
              <w:rPr>
                <w:sz w:val="16"/>
                <w:szCs w:val="16"/>
                <w:lang w:eastAsia="en-AU"/>
              </w:rPr>
              <w:t>I</w:t>
            </w:r>
            <w:r w:rsidRPr="008303EE">
              <w:rPr>
                <w:sz w:val="16"/>
                <w:szCs w:val="16"/>
                <w:lang w:eastAsia="en-AU"/>
              </w:rPr>
              <w:t xml:space="preserve">nitiatives that raise the profile of the industry </w:t>
            </w:r>
            <w:r>
              <w:rPr>
                <w:sz w:val="16"/>
                <w:szCs w:val="16"/>
                <w:lang w:eastAsia="en-AU"/>
              </w:rPr>
              <w:t xml:space="preserve">that </w:t>
            </w:r>
            <w:r w:rsidRPr="008303EE">
              <w:rPr>
                <w:sz w:val="16"/>
                <w:szCs w:val="16"/>
                <w:lang w:eastAsia="en-AU"/>
              </w:rPr>
              <w:t xml:space="preserve">will help attract more Australians to either choose or return to the visitor economy.  </w:t>
            </w:r>
          </w:p>
          <w:p w14:paraId="3FC6A165" w14:textId="77777777" w:rsidR="007B5347" w:rsidRPr="008303EE" w:rsidRDefault="007B5347" w:rsidP="007B5347">
            <w:pPr>
              <w:pStyle w:val="ListParagraph"/>
              <w:numPr>
                <w:ilvl w:val="0"/>
                <w:numId w:val="9"/>
              </w:numPr>
              <w:spacing w:before="0" w:after="0" w:line="240" w:lineRule="auto"/>
              <w:ind w:left="403"/>
              <w:textAlignment w:val="baseline"/>
              <w:rPr>
                <w:sz w:val="16"/>
                <w:szCs w:val="16"/>
                <w:lang w:eastAsia="en-AU"/>
              </w:rPr>
            </w:pPr>
            <w:r>
              <w:rPr>
                <w:sz w:val="16"/>
                <w:szCs w:val="16"/>
                <w:lang w:eastAsia="en-AU"/>
              </w:rPr>
              <w:t>Clearly communicate t</w:t>
            </w:r>
            <w:r w:rsidRPr="56EF92B6">
              <w:rPr>
                <w:sz w:val="16"/>
                <w:szCs w:val="16"/>
                <w:lang w:eastAsia="en-AU"/>
              </w:rPr>
              <w:t>he benefits of working in the visitor economy. Working in the visitor economy provides flexibility, the opportunity to travel, and can contribute to beneficial outcomes for communities, First Nations Australians, and lead to increased awareness of issues like sustainability. Better promotion of the benefits</w:t>
            </w:r>
            <w:r>
              <w:rPr>
                <w:sz w:val="16"/>
                <w:szCs w:val="16"/>
                <w:lang w:eastAsia="en-AU"/>
              </w:rPr>
              <w:t xml:space="preserve"> could</w:t>
            </w:r>
            <w:r w:rsidRPr="56EF92B6">
              <w:rPr>
                <w:sz w:val="16"/>
                <w:szCs w:val="16"/>
                <w:lang w:eastAsia="en-AU"/>
              </w:rPr>
              <w:t xml:space="preserve"> also help with retention of workers.   </w:t>
            </w:r>
          </w:p>
          <w:p w14:paraId="422A8764" w14:textId="77777777" w:rsidR="007B5347" w:rsidRPr="008303EE" w:rsidRDefault="007B5347" w:rsidP="007B5347">
            <w:pPr>
              <w:pStyle w:val="ListParagraph"/>
              <w:numPr>
                <w:ilvl w:val="0"/>
                <w:numId w:val="9"/>
              </w:numPr>
              <w:spacing w:before="0" w:after="0" w:line="240" w:lineRule="auto"/>
              <w:ind w:left="403" w:hanging="402"/>
              <w:textAlignment w:val="baseline"/>
              <w:rPr>
                <w:sz w:val="16"/>
                <w:szCs w:val="16"/>
                <w:lang w:eastAsia="en-AU"/>
              </w:rPr>
            </w:pPr>
            <w:r w:rsidRPr="56EF92B6">
              <w:rPr>
                <w:sz w:val="16"/>
                <w:szCs w:val="16"/>
                <w:lang w:eastAsia="en-AU"/>
              </w:rPr>
              <w:t>Any measures to promote the visitor economy as a career of choice must be underpinned by an adherence to the standards expected of employers, encompassing compliance with awards, superannuation obligations, and workplace health and safety.</w:t>
            </w:r>
          </w:p>
          <w:p w14:paraId="6C5AF500" w14:textId="77777777" w:rsidR="007B5347" w:rsidRDefault="007B5347" w:rsidP="007B5347">
            <w:pPr>
              <w:pStyle w:val="ListParagraph"/>
              <w:numPr>
                <w:ilvl w:val="0"/>
                <w:numId w:val="9"/>
              </w:numPr>
              <w:spacing w:before="0" w:after="0" w:line="240" w:lineRule="auto"/>
              <w:ind w:left="403" w:hanging="402"/>
              <w:textAlignment w:val="baseline"/>
              <w:rPr>
                <w:sz w:val="16"/>
                <w:szCs w:val="16"/>
                <w:lang w:eastAsia="en-AU"/>
              </w:rPr>
            </w:pPr>
            <w:r w:rsidRPr="1A4F77AC">
              <w:rPr>
                <w:sz w:val="16"/>
                <w:szCs w:val="16"/>
                <w:lang w:eastAsia="en-AU"/>
              </w:rPr>
              <w:t xml:space="preserve">Work with the </w:t>
            </w:r>
            <w:r>
              <w:rPr>
                <w:sz w:val="16"/>
                <w:szCs w:val="16"/>
                <w:lang w:eastAsia="en-AU"/>
              </w:rPr>
              <w:t>s</w:t>
            </w:r>
            <w:r w:rsidRPr="1A4F77AC">
              <w:rPr>
                <w:sz w:val="16"/>
                <w:szCs w:val="16"/>
                <w:lang w:eastAsia="en-AU"/>
              </w:rPr>
              <w:t xml:space="preserve">tates and </w:t>
            </w:r>
            <w:r>
              <w:rPr>
                <w:sz w:val="16"/>
                <w:szCs w:val="16"/>
                <w:lang w:eastAsia="en-AU"/>
              </w:rPr>
              <w:t>t</w:t>
            </w:r>
            <w:r w:rsidRPr="1A4F77AC">
              <w:rPr>
                <w:sz w:val="16"/>
                <w:szCs w:val="16"/>
                <w:lang w:eastAsia="en-AU"/>
              </w:rPr>
              <w:t xml:space="preserve">erritories to develop and strengthen strategies to improve worker retention, particularly in regional areas, in conjunction with industry. </w:t>
            </w:r>
          </w:p>
          <w:p w14:paraId="66408CA7" w14:textId="77777777" w:rsidR="00291BFC" w:rsidRDefault="00291BFC" w:rsidP="00291BFC">
            <w:pPr>
              <w:spacing w:before="0" w:after="0" w:line="240" w:lineRule="auto"/>
              <w:textAlignment w:val="baseline"/>
              <w:rPr>
                <w:sz w:val="16"/>
                <w:szCs w:val="16"/>
                <w:lang w:eastAsia="en-AU"/>
              </w:rPr>
            </w:pPr>
          </w:p>
          <w:p w14:paraId="467AA447" w14:textId="77777777" w:rsidR="00083A89" w:rsidRDefault="00083A89" w:rsidP="00291BFC">
            <w:pPr>
              <w:spacing w:before="0" w:after="0" w:line="240" w:lineRule="auto"/>
              <w:textAlignment w:val="baseline"/>
              <w:rPr>
                <w:sz w:val="16"/>
                <w:szCs w:val="16"/>
                <w:lang w:eastAsia="en-AU"/>
              </w:rPr>
            </w:pPr>
          </w:p>
          <w:p w14:paraId="08BF0453" w14:textId="77777777" w:rsidR="003A16D3" w:rsidRDefault="003A16D3" w:rsidP="00291BFC">
            <w:pPr>
              <w:spacing w:before="0" w:after="0" w:line="240" w:lineRule="auto"/>
              <w:textAlignment w:val="baseline"/>
              <w:rPr>
                <w:sz w:val="16"/>
                <w:szCs w:val="16"/>
                <w:lang w:eastAsia="en-AU"/>
              </w:rPr>
            </w:pPr>
          </w:p>
          <w:p w14:paraId="25B02995" w14:textId="77777777" w:rsidR="00291BFC" w:rsidRDefault="00291BFC" w:rsidP="00291BFC">
            <w:pPr>
              <w:spacing w:before="0" w:after="0" w:line="240" w:lineRule="auto"/>
              <w:textAlignment w:val="baseline"/>
              <w:rPr>
                <w:sz w:val="16"/>
                <w:szCs w:val="16"/>
                <w:lang w:eastAsia="en-AU"/>
              </w:rPr>
            </w:pPr>
          </w:p>
          <w:p w14:paraId="6845D36A" w14:textId="77777777" w:rsidR="00FC3BAA" w:rsidRDefault="00FC3BAA" w:rsidP="00291BFC">
            <w:pPr>
              <w:spacing w:before="0" w:after="0" w:line="240" w:lineRule="auto"/>
              <w:textAlignment w:val="baseline"/>
              <w:rPr>
                <w:sz w:val="16"/>
                <w:szCs w:val="16"/>
                <w:lang w:eastAsia="en-AU"/>
              </w:rPr>
            </w:pPr>
          </w:p>
          <w:p w14:paraId="1647A2BE" w14:textId="77777777" w:rsidR="00FC3BAA" w:rsidRDefault="00FC3BAA" w:rsidP="00291BFC">
            <w:pPr>
              <w:spacing w:before="0" w:after="0" w:line="240" w:lineRule="auto"/>
              <w:textAlignment w:val="baseline"/>
              <w:rPr>
                <w:sz w:val="16"/>
                <w:szCs w:val="16"/>
                <w:lang w:eastAsia="en-AU"/>
              </w:rPr>
            </w:pPr>
          </w:p>
          <w:p w14:paraId="7498F026" w14:textId="30BAC69D" w:rsidR="00FC3BAA" w:rsidRPr="00291BFC" w:rsidRDefault="00FC3BAA" w:rsidP="00291BFC">
            <w:pPr>
              <w:spacing w:before="0" w:after="0" w:line="240" w:lineRule="auto"/>
              <w:textAlignment w:val="baseline"/>
              <w:rPr>
                <w:sz w:val="16"/>
                <w:szCs w:val="16"/>
                <w:lang w:eastAsia="en-AU"/>
              </w:rPr>
            </w:pPr>
          </w:p>
        </w:tc>
      </w:tr>
      <w:tr w:rsidR="007B5347" w:rsidRPr="0013422C" w14:paraId="22FB3ABB" w14:textId="77777777" w:rsidTr="007B5347">
        <w:trPr>
          <w:cantSplit/>
          <w:jc w:val="center"/>
        </w:trPr>
        <w:tc>
          <w:tcPr>
            <w:tcW w:w="15594" w:type="dxa"/>
            <w:gridSpan w:val="7"/>
            <w:tcBorders>
              <w:top w:val="single" w:sz="6" w:space="0" w:color="auto"/>
              <w:left w:val="single" w:sz="6" w:space="0" w:color="auto"/>
              <w:bottom w:val="single" w:sz="6" w:space="0" w:color="auto"/>
              <w:right w:val="single" w:sz="6" w:space="0" w:color="auto"/>
            </w:tcBorders>
            <w:shd w:val="clear" w:color="auto" w:fill="216644" w:themeFill="accent3"/>
            <w:hideMark/>
          </w:tcPr>
          <w:p w14:paraId="296BADE7" w14:textId="77777777" w:rsidR="007B5347" w:rsidRPr="0013422C" w:rsidRDefault="007B5347" w:rsidP="007A3AFB">
            <w:pPr>
              <w:snapToGrid w:val="0"/>
              <w:spacing w:before="0" w:after="0"/>
              <w:ind w:left="284" w:hanging="284"/>
              <w:jc w:val="center"/>
              <w:rPr>
                <w:sz w:val="16"/>
                <w:szCs w:val="16"/>
                <w:lang w:eastAsia="en-AU"/>
              </w:rPr>
            </w:pPr>
            <w:r>
              <w:rPr>
                <w:color w:val="FFFFFF" w:themeColor="background1"/>
                <w:lang w:eastAsia="en-AU"/>
              </w:rPr>
              <w:t>AUSTRALIAN GOVERNMENT</w:t>
            </w:r>
            <w:r w:rsidDel="00AA5DFC">
              <w:rPr>
                <w:color w:val="FFFFFF" w:themeColor="background1"/>
                <w:lang w:eastAsia="en-AU"/>
              </w:rPr>
              <w:t xml:space="preserve"> </w:t>
            </w:r>
            <w:r w:rsidRPr="3D4CA2E0">
              <w:rPr>
                <w:color w:val="FFFFFF" w:themeColor="background1"/>
                <w:lang w:eastAsia="en-AU"/>
              </w:rPr>
              <w:t>ACTIONS</w:t>
            </w:r>
            <w:r>
              <w:rPr>
                <w:color w:val="FFFFFF" w:themeColor="background1"/>
                <w:lang w:eastAsia="en-AU"/>
              </w:rPr>
              <w:t xml:space="preserve"> UNDERWAY</w:t>
            </w:r>
          </w:p>
        </w:tc>
      </w:tr>
      <w:tr w:rsidR="007B5347" w:rsidRPr="0013422C" w14:paraId="68B74C6D" w14:textId="77777777" w:rsidTr="00095940">
        <w:trPr>
          <w:trHeight w:val="1005"/>
          <w:jc w:val="center"/>
        </w:trPr>
        <w:tc>
          <w:tcPr>
            <w:tcW w:w="3253" w:type="dxa"/>
            <w:tcBorders>
              <w:top w:val="single" w:sz="6" w:space="0" w:color="auto"/>
              <w:left w:val="single" w:sz="6" w:space="0" w:color="auto"/>
              <w:bottom w:val="single" w:sz="6" w:space="0" w:color="auto"/>
              <w:right w:val="single" w:sz="6" w:space="0" w:color="auto"/>
            </w:tcBorders>
            <w:shd w:val="clear" w:color="auto" w:fill="auto"/>
            <w:hideMark/>
          </w:tcPr>
          <w:p w14:paraId="1B08DA2C" w14:textId="77777777" w:rsidR="007B5347" w:rsidRPr="007B5347" w:rsidRDefault="007B5347" w:rsidP="008267F2">
            <w:pPr>
              <w:pStyle w:val="ListBullet"/>
              <w:rPr>
                <w:rFonts w:ascii="Verdana" w:hAnsi="Verdana"/>
                <w:sz w:val="16"/>
                <w:szCs w:val="16"/>
                <w:lang w:eastAsia="en-AU"/>
              </w:rPr>
            </w:pPr>
            <w:r w:rsidRPr="007B5347">
              <w:rPr>
                <w:rFonts w:ascii="Verdana" w:hAnsi="Verdana"/>
                <w:sz w:val="16"/>
                <w:szCs w:val="16"/>
                <w:lang w:eastAsia="en-AU"/>
              </w:rPr>
              <w:t>Deliver the National Housing Accord to unlock quality, affordable housing supply over the medium term, including an aspirational target of one million new homes to be built over 5 years from 2024 (delivered by the Australian Government and states and territories, being led by Treasury).</w:t>
            </w:r>
          </w:p>
          <w:p w14:paraId="3DA69357" w14:textId="77777777" w:rsidR="007B5347" w:rsidRPr="007B5347" w:rsidRDefault="007B5347" w:rsidP="008267F2">
            <w:pPr>
              <w:pStyle w:val="ListBullet"/>
              <w:rPr>
                <w:rFonts w:ascii="Verdana" w:hAnsi="Verdana"/>
                <w:sz w:val="16"/>
                <w:szCs w:val="16"/>
                <w:lang w:eastAsia="en-AU"/>
              </w:rPr>
            </w:pPr>
            <w:r w:rsidRPr="007B5347">
              <w:rPr>
                <w:rFonts w:ascii="Verdana" w:hAnsi="Verdana"/>
                <w:sz w:val="16"/>
                <w:szCs w:val="16"/>
                <w:lang w:eastAsia="en-AU"/>
              </w:rPr>
              <w:t>Establish Jobs and Skills Australia to provide independent advice on current and emerging needs. Austrade’s role to advocate for visitor economy (delivered by Jobs and Skills Australia, in progress).</w:t>
            </w:r>
          </w:p>
          <w:p w14:paraId="3A6F43C7" w14:textId="77777777" w:rsidR="007B5347" w:rsidRPr="007B5347" w:rsidRDefault="007B5347" w:rsidP="008267F2">
            <w:pPr>
              <w:pStyle w:val="ListBullet"/>
              <w:rPr>
                <w:rFonts w:ascii="Verdana" w:hAnsi="Verdana"/>
                <w:sz w:val="16"/>
                <w:szCs w:val="16"/>
                <w:lang w:eastAsia="en-AU"/>
              </w:rPr>
            </w:pPr>
            <w:r w:rsidRPr="007B5347">
              <w:rPr>
                <w:rFonts w:ascii="Verdana" w:hAnsi="Verdana"/>
                <w:sz w:val="16"/>
                <w:szCs w:val="16"/>
                <w:lang w:eastAsia="en-AU"/>
              </w:rPr>
              <w:t xml:space="preserve">Deliver a comprehensive update to the </w:t>
            </w:r>
            <w:r w:rsidRPr="007B5347">
              <w:rPr>
                <w:rFonts w:ascii="Verdana" w:hAnsi="Verdana"/>
                <w:i/>
                <w:iCs/>
                <w:sz w:val="16"/>
                <w:szCs w:val="16"/>
                <w:lang w:eastAsia="en-AU"/>
              </w:rPr>
              <w:t>Australian and New Zealand Standard Classification of Occupations</w:t>
            </w:r>
            <w:r w:rsidRPr="007B5347">
              <w:rPr>
                <w:rFonts w:ascii="Verdana" w:hAnsi="Verdana"/>
                <w:sz w:val="16"/>
                <w:szCs w:val="16"/>
                <w:lang w:eastAsia="en-AU"/>
              </w:rPr>
              <w:t xml:space="preserve"> by December 2024. Over time this will assist in better identifying visitor economy occupations, skills levels, training products and visa settings (delivered by the Australian Bureau of Statistics (ABS), to be started).</w:t>
            </w:r>
          </w:p>
          <w:p w14:paraId="2B7A00C0" w14:textId="77777777" w:rsidR="007B5347" w:rsidRDefault="007B5347">
            <w:pPr>
              <w:pStyle w:val="ListBullet"/>
              <w:rPr>
                <w:rFonts w:ascii="Verdana" w:hAnsi="Verdana"/>
                <w:sz w:val="16"/>
                <w:szCs w:val="16"/>
              </w:rPr>
            </w:pPr>
            <w:r w:rsidRPr="007B5347">
              <w:rPr>
                <w:rFonts w:ascii="Verdana" w:hAnsi="Verdana"/>
                <w:sz w:val="16"/>
                <w:szCs w:val="16"/>
              </w:rPr>
              <w:t>Continue to engage on tourism in APEC, G20 and OECD to monitor issues, including new initiatives to address tourism labour and skills (delivered by the Department of Foreign Affairs and Trade (DFAT), in progress).</w:t>
            </w:r>
          </w:p>
          <w:p w14:paraId="5B9AB60B" w14:textId="77777777" w:rsidR="0037497E" w:rsidRPr="0037497E" w:rsidRDefault="0037497E" w:rsidP="0037497E">
            <w:pPr>
              <w:rPr>
                <w:lang w:eastAsia="zh-CN"/>
              </w:rPr>
            </w:pPr>
          </w:p>
          <w:p w14:paraId="078927BF" w14:textId="77777777" w:rsidR="0037497E" w:rsidRPr="0037497E" w:rsidRDefault="0037497E" w:rsidP="0037497E">
            <w:pPr>
              <w:rPr>
                <w:lang w:eastAsia="zh-CN"/>
              </w:rPr>
            </w:pPr>
          </w:p>
          <w:p w14:paraId="5F7B889B" w14:textId="77777777" w:rsidR="0037497E" w:rsidRPr="0037497E" w:rsidRDefault="0037497E" w:rsidP="0037497E">
            <w:pPr>
              <w:rPr>
                <w:lang w:eastAsia="zh-CN"/>
              </w:rPr>
            </w:pPr>
          </w:p>
          <w:p w14:paraId="75777061" w14:textId="77777777" w:rsidR="0037497E" w:rsidRPr="0037497E" w:rsidRDefault="0037497E" w:rsidP="0037497E">
            <w:pPr>
              <w:jc w:val="center"/>
              <w:rPr>
                <w:lang w:eastAsia="zh-CN"/>
              </w:rPr>
            </w:pPr>
          </w:p>
          <w:p w14:paraId="5987F498" w14:textId="329948AF" w:rsidR="007B5347" w:rsidRPr="0037497E" w:rsidRDefault="007B5347" w:rsidP="0037497E">
            <w:pPr>
              <w:rPr>
                <w:lang w:eastAsia="zh-CN"/>
              </w:rPr>
            </w:pPr>
          </w:p>
        </w:tc>
        <w:tc>
          <w:tcPr>
            <w:tcW w:w="3318" w:type="dxa"/>
            <w:gridSpan w:val="2"/>
            <w:tcBorders>
              <w:top w:val="single" w:sz="6" w:space="0" w:color="auto"/>
              <w:left w:val="single" w:sz="6" w:space="0" w:color="auto"/>
              <w:bottom w:val="single" w:sz="6" w:space="0" w:color="auto"/>
              <w:right w:val="single" w:sz="6" w:space="0" w:color="auto"/>
            </w:tcBorders>
            <w:shd w:val="clear" w:color="auto" w:fill="auto"/>
            <w:hideMark/>
          </w:tcPr>
          <w:p w14:paraId="4FBF5A1D" w14:textId="77777777" w:rsidR="007B5347" w:rsidRPr="007B5347" w:rsidRDefault="007B5347" w:rsidP="008267F2">
            <w:pPr>
              <w:pStyle w:val="ListBullet"/>
              <w:rPr>
                <w:rFonts w:ascii="Verdana" w:hAnsi="Verdana"/>
                <w:sz w:val="16"/>
                <w:szCs w:val="16"/>
                <w:lang w:eastAsia="en-AU"/>
              </w:rPr>
            </w:pPr>
            <w:r w:rsidRPr="007B5347">
              <w:rPr>
                <w:rFonts w:ascii="Verdana" w:hAnsi="Verdana"/>
                <w:sz w:val="16"/>
                <w:szCs w:val="16"/>
                <w:lang w:eastAsia="en-AU"/>
              </w:rPr>
              <w:t xml:space="preserve">Develop marketing strategies to attract workers to tourism, promoting the $4,000 pension work credit and encourage pensioners to engage with roles in the visitor economy (until December 2023) (delivered by Austrade/the Department of Social Services (DSS), delivered). </w:t>
            </w:r>
          </w:p>
          <w:p w14:paraId="7AF0DDC7" w14:textId="77777777" w:rsidR="007B5347" w:rsidRPr="007B5347" w:rsidRDefault="007B5347" w:rsidP="008267F2">
            <w:pPr>
              <w:pStyle w:val="ListBullet"/>
              <w:rPr>
                <w:rFonts w:ascii="Verdana" w:hAnsi="Verdana"/>
                <w:sz w:val="16"/>
                <w:szCs w:val="16"/>
                <w:lang w:eastAsia="en-AU"/>
              </w:rPr>
            </w:pPr>
            <w:r w:rsidRPr="007B5347">
              <w:rPr>
                <w:rFonts w:ascii="Verdana" w:hAnsi="Verdana"/>
                <w:sz w:val="16"/>
                <w:szCs w:val="16"/>
                <w:lang w:eastAsia="en-AU"/>
              </w:rPr>
              <w:t>Deliver Choose Tourism Grants to expand workforce attraction and supply (delivered by Austrade and states and territories, in progress).</w:t>
            </w:r>
          </w:p>
          <w:p w14:paraId="057913EE" w14:textId="77777777" w:rsidR="007B5347" w:rsidRPr="007B5347" w:rsidRDefault="007B5347" w:rsidP="008267F2">
            <w:pPr>
              <w:pStyle w:val="ListBullet"/>
              <w:rPr>
                <w:rFonts w:ascii="Verdana" w:hAnsi="Verdana"/>
                <w:sz w:val="16"/>
                <w:szCs w:val="16"/>
                <w:lang w:eastAsia="en-AU"/>
              </w:rPr>
            </w:pPr>
            <w:r w:rsidRPr="007B5347">
              <w:rPr>
                <w:rFonts w:ascii="Verdana" w:hAnsi="Verdana"/>
                <w:sz w:val="16"/>
                <w:szCs w:val="16"/>
                <w:lang w:eastAsia="en-AU"/>
              </w:rPr>
              <w:t>Tourism Navigators Pilot to address barriers for tourism small and medium enterprises (SMEs) to hiring people with disability (delivered by DSS with Austrade, in progress).</w:t>
            </w:r>
          </w:p>
          <w:p w14:paraId="10FE5606" w14:textId="77777777" w:rsidR="007B5347" w:rsidRPr="007B5347" w:rsidRDefault="007B5347" w:rsidP="008267F2">
            <w:pPr>
              <w:pStyle w:val="ListBullet"/>
              <w:rPr>
                <w:rFonts w:ascii="Verdana" w:hAnsi="Verdana"/>
                <w:sz w:val="16"/>
                <w:szCs w:val="16"/>
                <w:lang w:eastAsia="en-AU"/>
              </w:rPr>
            </w:pPr>
            <w:r w:rsidRPr="007B5347">
              <w:rPr>
                <w:rFonts w:ascii="Verdana" w:hAnsi="Verdana"/>
                <w:sz w:val="16"/>
                <w:szCs w:val="16"/>
                <w:lang w:eastAsia="en-AU"/>
              </w:rPr>
              <w:t>Communication to businesses about Government employment support (delivered by the Department of Employment and Workplace Relations (DEWR), in progress).</w:t>
            </w:r>
          </w:p>
          <w:p w14:paraId="0836DF60" w14:textId="77777777" w:rsidR="007B5347" w:rsidRPr="007B5347" w:rsidRDefault="007B5347" w:rsidP="008267F2">
            <w:pPr>
              <w:pStyle w:val="ListBullet"/>
              <w:rPr>
                <w:rFonts w:ascii="Verdana" w:hAnsi="Verdana"/>
                <w:sz w:val="16"/>
                <w:szCs w:val="16"/>
                <w:lang w:eastAsia="en-AU"/>
              </w:rPr>
            </w:pPr>
            <w:r w:rsidRPr="007B5347">
              <w:rPr>
                <w:rFonts w:ascii="Verdana" w:hAnsi="Verdana"/>
                <w:sz w:val="16"/>
                <w:szCs w:val="16"/>
                <w:lang w:eastAsia="en-AU"/>
              </w:rPr>
              <w:t xml:space="preserve">Programs tailored to facilitate employment, including in the visitor economy (delivered by DEWR), including: </w:t>
            </w:r>
          </w:p>
          <w:p w14:paraId="3C242C62" w14:textId="77777777" w:rsidR="007B5347" w:rsidRPr="007B5347" w:rsidRDefault="007B5347" w:rsidP="007B5347">
            <w:pPr>
              <w:pStyle w:val="ListBullet"/>
              <w:numPr>
                <w:ilvl w:val="0"/>
                <w:numId w:val="12"/>
              </w:numPr>
              <w:rPr>
                <w:rFonts w:ascii="Verdana" w:hAnsi="Verdana"/>
                <w:sz w:val="16"/>
                <w:szCs w:val="16"/>
                <w:lang w:eastAsia="en-AU"/>
              </w:rPr>
            </w:pPr>
            <w:r w:rsidRPr="007B5347">
              <w:rPr>
                <w:rFonts w:ascii="Verdana" w:hAnsi="Verdana"/>
                <w:sz w:val="16"/>
                <w:szCs w:val="16"/>
                <w:lang w:eastAsia="en-AU"/>
              </w:rPr>
              <w:t>Local Jobs focuses on local connections and collaborations to meet local labour market needs, which can include the visitor economy (in progress).</w:t>
            </w:r>
          </w:p>
          <w:p w14:paraId="52C78284" w14:textId="77777777" w:rsidR="007B5347" w:rsidRPr="007B5347" w:rsidRDefault="007B5347" w:rsidP="007B5347">
            <w:pPr>
              <w:pStyle w:val="ListBullet"/>
              <w:numPr>
                <w:ilvl w:val="0"/>
                <w:numId w:val="12"/>
              </w:numPr>
              <w:spacing w:after="0"/>
              <w:ind w:left="714" w:hanging="357"/>
              <w:rPr>
                <w:rFonts w:ascii="Verdana" w:hAnsi="Verdana"/>
                <w:sz w:val="16"/>
                <w:szCs w:val="16"/>
                <w:lang w:eastAsia="en-AU"/>
              </w:rPr>
            </w:pPr>
            <w:r w:rsidRPr="007B5347">
              <w:rPr>
                <w:rFonts w:ascii="Verdana" w:hAnsi="Verdana"/>
                <w:sz w:val="16"/>
                <w:szCs w:val="16"/>
                <w:lang w:eastAsia="en-AU"/>
              </w:rPr>
              <w:t>A dedicated Hospitality and Tourism Employer Liaison Officer to partner with large businesses and industry peaks to support new approaches to recruitment and retention (in progress).</w:t>
            </w:r>
          </w:p>
          <w:p w14:paraId="4AE6F6C4" w14:textId="77777777" w:rsidR="007B5347" w:rsidRPr="007B5347" w:rsidRDefault="007B5347" w:rsidP="007B5347">
            <w:pPr>
              <w:pStyle w:val="ListBullet"/>
              <w:numPr>
                <w:ilvl w:val="0"/>
                <w:numId w:val="12"/>
              </w:numPr>
              <w:spacing w:after="0"/>
              <w:rPr>
                <w:rFonts w:ascii="Verdana" w:hAnsi="Verdana"/>
                <w:sz w:val="16"/>
                <w:szCs w:val="16"/>
                <w:lang w:eastAsia="en-AU"/>
              </w:rPr>
            </w:pPr>
            <w:r w:rsidRPr="007B5347">
              <w:rPr>
                <w:rFonts w:ascii="Verdana" w:hAnsi="Verdana"/>
                <w:sz w:val="16"/>
                <w:szCs w:val="16"/>
                <w:lang w:eastAsia="en-AU"/>
              </w:rPr>
              <w:t>Launch into Work funds businesses to deliver pre-employment projects that support disadvantaged job seekers, particularly women, into entry-level jobs within their business (in progress).</w:t>
            </w:r>
          </w:p>
          <w:p w14:paraId="19959DDD" w14:textId="77777777" w:rsidR="007B5347" w:rsidRPr="007B5347" w:rsidRDefault="007B5347" w:rsidP="008267F2">
            <w:pPr>
              <w:pStyle w:val="ListBullet"/>
              <w:rPr>
                <w:rFonts w:ascii="Verdana" w:hAnsi="Verdana"/>
                <w:sz w:val="16"/>
                <w:szCs w:val="16"/>
                <w:lang w:eastAsia="en-AU"/>
              </w:rPr>
            </w:pPr>
            <w:r w:rsidRPr="007B5347">
              <w:rPr>
                <w:rFonts w:ascii="Verdana" w:hAnsi="Verdana"/>
                <w:sz w:val="16"/>
                <w:szCs w:val="16"/>
                <w:lang w:eastAsia="en-AU"/>
              </w:rPr>
              <w:t>20,000 additional university places for students from underrepresented cohorts, gives the opportunity for students to take up visitor economy courses (delivered by DEWR, in progress).</w:t>
            </w:r>
          </w:p>
          <w:p w14:paraId="1BD5E6E7" w14:textId="77777777" w:rsidR="007B5347" w:rsidRPr="007B5347" w:rsidRDefault="007B5347" w:rsidP="008267F2">
            <w:pPr>
              <w:pStyle w:val="ListBullet"/>
              <w:rPr>
                <w:rFonts w:ascii="Verdana" w:hAnsi="Verdana"/>
                <w:sz w:val="16"/>
                <w:szCs w:val="16"/>
                <w:lang w:eastAsia="en-AU"/>
              </w:rPr>
            </w:pPr>
            <w:r w:rsidRPr="007B5347">
              <w:rPr>
                <w:rFonts w:ascii="Verdana" w:hAnsi="Verdana"/>
                <w:sz w:val="16"/>
                <w:szCs w:val="16"/>
                <w:lang w:eastAsia="en-AU"/>
              </w:rPr>
              <w:t>Provide tailored one-on-one support for First Nations tourism businesses through the First Nations Tourism Mentoring Program (delivered by National Indigenous Australians Agency, in progress).</w:t>
            </w:r>
          </w:p>
          <w:p w14:paraId="7807E78F" w14:textId="77777777" w:rsidR="007B5347" w:rsidRPr="007B5347" w:rsidRDefault="007B5347" w:rsidP="008267F2">
            <w:pPr>
              <w:pStyle w:val="ListBullet"/>
              <w:rPr>
                <w:rFonts w:ascii="Verdana" w:hAnsi="Verdana"/>
                <w:sz w:val="16"/>
                <w:szCs w:val="16"/>
                <w:lang w:eastAsia="en-AU"/>
              </w:rPr>
            </w:pPr>
            <w:r w:rsidRPr="007B5347">
              <w:rPr>
                <w:rFonts w:ascii="Verdana" w:hAnsi="Verdana"/>
                <w:sz w:val="16"/>
                <w:szCs w:val="16"/>
                <w:lang w:eastAsia="en-AU"/>
              </w:rPr>
              <w:t>Highlight initiatives that increase employment opportunities for First Nations Australians such as the Indigenous Tourism Fund and the Indigenous Advancement Strategy (delivered by the National Indigenous Australians Agency/state &amp; territory governments).</w:t>
            </w:r>
          </w:p>
        </w:tc>
        <w:tc>
          <w:tcPr>
            <w:tcW w:w="2841" w:type="dxa"/>
            <w:gridSpan w:val="2"/>
            <w:tcBorders>
              <w:top w:val="single" w:sz="6" w:space="0" w:color="auto"/>
              <w:left w:val="single" w:sz="6" w:space="0" w:color="auto"/>
              <w:bottom w:val="single" w:sz="6" w:space="0" w:color="auto"/>
              <w:right w:val="single" w:sz="6" w:space="0" w:color="auto"/>
            </w:tcBorders>
            <w:shd w:val="clear" w:color="auto" w:fill="auto"/>
            <w:hideMark/>
          </w:tcPr>
          <w:p w14:paraId="624B4944" w14:textId="77777777" w:rsidR="007B5347" w:rsidRPr="007B5347" w:rsidRDefault="007B5347" w:rsidP="007B5347">
            <w:pPr>
              <w:pStyle w:val="ListBullet"/>
              <w:numPr>
                <w:ilvl w:val="0"/>
                <w:numId w:val="16"/>
              </w:numPr>
              <w:rPr>
                <w:rFonts w:ascii="Verdana" w:eastAsia="Verdana" w:hAnsi="Verdana" w:cs="Verdana"/>
                <w:sz w:val="16"/>
                <w:szCs w:val="16"/>
              </w:rPr>
            </w:pPr>
            <w:r w:rsidRPr="007B5347">
              <w:rPr>
                <w:rFonts w:ascii="Verdana" w:eastAsia="Verdana" w:hAnsi="Verdana" w:cs="Verdana"/>
                <w:sz w:val="16"/>
                <w:szCs w:val="16"/>
              </w:rPr>
              <w:t>Communicate with Working Holiday Maker (WHM) visa holders offshore to encourage them to commence their travel to Australia (delivered by Home Affairs working together with Austrade and Tourism Australia).</w:t>
            </w:r>
          </w:p>
          <w:p w14:paraId="7D469A54" w14:textId="77777777" w:rsidR="007B5347" w:rsidRPr="007B5347" w:rsidRDefault="007B5347" w:rsidP="007B5347">
            <w:pPr>
              <w:pStyle w:val="ListBullet"/>
              <w:numPr>
                <w:ilvl w:val="0"/>
                <w:numId w:val="16"/>
              </w:numPr>
              <w:ind w:left="357" w:hanging="357"/>
              <w:rPr>
                <w:rFonts w:ascii="Verdana" w:eastAsia="Verdana" w:hAnsi="Verdana" w:cs="Verdana"/>
                <w:sz w:val="16"/>
                <w:szCs w:val="16"/>
                <w:lang w:eastAsia="en-AU"/>
              </w:rPr>
            </w:pPr>
            <w:r w:rsidRPr="007B5347">
              <w:rPr>
                <w:rFonts w:ascii="Verdana" w:eastAsia="Verdana" w:hAnsi="Verdana" w:cs="Verdana"/>
                <w:sz w:val="16"/>
                <w:szCs w:val="16"/>
              </w:rPr>
              <w:t>Campaigns to turbocharge the return of WHMs and identify Australia as an attractive destination to work (delivered by Tourism Australia, in progress).</w:t>
            </w:r>
          </w:p>
          <w:p w14:paraId="189B868C" w14:textId="77777777" w:rsidR="007B5347" w:rsidRPr="007B5347" w:rsidRDefault="007B5347" w:rsidP="007B5347">
            <w:pPr>
              <w:pStyle w:val="ListBullet"/>
              <w:numPr>
                <w:ilvl w:val="0"/>
                <w:numId w:val="16"/>
              </w:numPr>
              <w:rPr>
                <w:rFonts w:ascii="Verdana" w:eastAsia="Verdana" w:hAnsi="Verdana" w:cs="Verdana"/>
                <w:sz w:val="16"/>
                <w:szCs w:val="16"/>
              </w:rPr>
            </w:pPr>
            <w:r w:rsidRPr="007B5347">
              <w:rPr>
                <w:rFonts w:ascii="Verdana" w:eastAsia="Verdana" w:hAnsi="Verdana" w:cs="Verdana"/>
                <w:sz w:val="16"/>
                <w:szCs w:val="16"/>
              </w:rPr>
              <w:t>Measures to address international workforce issues (delivered by Home Affairs), such as:</w:t>
            </w:r>
          </w:p>
          <w:p w14:paraId="2185706B" w14:textId="77777777" w:rsidR="007B5347" w:rsidRPr="007B5347" w:rsidRDefault="007B5347" w:rsidP="007B5347">
            <w:pPr>
              <w:pStyle w:val="ListBullet2"/>
              <w:numPr>
                <w:ilvl w:val="1"/>
                <w:numId w:val="14"/>
              </w:numPr>
              <w:rPr>
                <w:rFonts w:ascii="Verdana" w:hAnsi="Verdana"/>
                <w:sz w:val="16"/>
                <w:szCs w:val="16"/>
              </w:rPr>
            </w:pPr>
            <w:r w:rsidRPr="007B5347">
              <w:rPr>
                <w:rFonts w:ascii="Verdana" w:hAnsi="Verdana"/>
                <w:sz w:val="16"/>
                <w:szCs w:val="16"/>
              </w:rPr>
              <w:t>Increase in permanent migration program places to 190,000 (delivered). </w:t>
            </w:r>
          </w:p>
          <w:p w14:paraId="17367E42" w14:textId="77777777" w:rsidR="007B5347" w:rsidRPr="007B5347" w:rsidRDefault="007B5347" w:rsidP="007B5347">
            <w:pPr>
              <w:pStyle w:val="ListBullet2"/>
              <w:numPr>
                <w:ilvl w:val="1"/>
                <w:numId w:val="14"/>
              </w:numPr>
              <w:rPr>
                <w:rFonts w:ascii="Verdana" w:hAnsi="Verdana"/>
                <w:sz w:val="16"/>
                <w:szCs w:val="16"/>
              </w:rPr>
            </w:pPr>
            <w:r w:rsidRPr="007B5347">
              <w:rPr>
                <w:rFonts w:ascii="Verdana" w:hAnsi="Verdana"/>
                <w:sz w:val="16"/>
                <w:szCs w:val="16"/>
              </w:rPr>
              <w:t>Increase funding for visa processing to reduce the backlog and improve visa processing efficiency (delivered). </w:t>
            </w:r>
          </w:p>
          <w:p w14:paraId="20966519" w14:textId="77777777" w:rsidR="007B5347" w:rsidRPr="007B5347" w:rsidRDefault="007B5347" w:rsidP="007B5347">
            <w:pPr>
              <w:pStyle w:val="ListBullet2"/>
              <w:numPr>
                <w:ilvl w:val="1"/>
                <w:numId w:val="14"/>
              </w:numPr>
              <w:rPr>
                <w:rFonts w:ascii="Verdana" w:hAnsi="Verdana"/>
                <w:sz w:val="16"/>
                <w:szCs w:val="16"/>
              </w:rPr>
            </w:pPr>
            <w:r w:rsidRPr="007B5347">
              <w:rPr>
                <w:rFonts w:ascii="Verdana" w:hAnsi="Verdana"/>
                <w:sz w:val="16"/>
                <w:szCs w:val="16"/>
              </w:rPr>
              <w:t>Expand and reform of the PALM scheme over 4 years (in progress).</w:t>
            </w:r>
          </w:p>
          <w:p w14:paraId="44B12F9F" w14:textId="77777777" w:rsidR="007B5347" w:rsidRPr="007B5347" w:rsidRDefault="007B5347" w:rsidP="007B5347">
            <w:pPr>
              <w:pStyle w:val="ListBullet2"/>
              <w:numPr>
                <w:ilvl w:val="1"/>
                <w:numId w:val="14"/>
              </w:numPr>
              <w:rPr>
                <w:rFonts w:ascii="Verdana" w:hAnsi="Verdana"/>
                <w:sz w:val="16"/>
                <w:szCs w:val="16"/>
                <w:lang w:eastAsia="en-AU"/>
              </w:rPr>
            </w:pPr>
            <w:r w:rsidRPr="007B5347">
              <w:rPr>
                <w:rFonts w:ascii="Verdana" w:hAnsi="Verdana"/>
                <w:sz w:val="16"/>
                <w:szCs w:val="16"/>
              </w:rPr>
              <w:t>Increase caps and age limits for selected partner countries in the WHM program (in progress).</w:t>
            </w:r>
          </w:p>
          <w:p w14:paraId="3923A38C" w14:textId="08FC7EF7" w:rsidR="007B5347" w:rsidRPr="00BC0320" w:rsidRDefault="007B5347" w:rsidP="00BC0320">
            <w:pPr>
              <w:pStyle w:val="ListBullet"/>
              <w:ind w:left="357" w:hanging="357"/>
              <w:rPr>
                <w:rFonts w:ascii="Verdana" w:hAnsi="Verdana"/>
                <w:sz w:val="16"/>
                <w:szCs w:val="16"/>
                <w:lang w:eastAsia="en-AU"/>
              </w:rPr>
            </w:pPr>
            <w:r w:rsidRPr="007B5347">
              <w:rPr>
                <w:rFonts w:ascii="Verdana" w:hAnsi="Verdana"/>
                <w:sz w:val="16"/>
                <w:szCs w:val="16"/>
                <w:lang w:eastAsia="en-AU"/>
              </w:rPr>
              <w:t xml:space="preserve">Increase the working hours cap for student visa holders to 48 hours per fortnight for when the cap is reintroduced (up from the pre-COVID cap of 40 hours per fortnight) (delivered by Home Affairs, in progress). </w:t>
            </w:r>
          </w:p>
          <w:p w14:paraId="2746160A" w14:textId="77777777" w:rsidR="007B5347" w:rsidRPr="007B5347" w:rsidRDefault="007B5347" w:rsidP="008267F2">
            <w:pPr>
              <w:pStyle w:val="ListBullet"/>
              <w:rPr>
                <w:rFonts w:ascii="Verdana" w:hAnsi="Verdana"/>
                <w:sz w:val="16"/>
                <w:szCs w:val="16"/>
                <w:lang w:eastAsia="en-AU"/>
              </w:rPr>
            </w:pPr>
            <w:r w:rsidRPr="007B5347">
              <w:rPr>
                <w:rFonts w:ascii="Verdana" w:hAnsi="Verdana"/>
                <w:sz w:val="16"/>
                <w:szCs w:val="16"/>
                <w:lang w:eastAsia="en-AU"/>
              </w:rPr>
              <w:t>Establish the Pacific Engagement Visa, with 3,000 places available to nationals from Pacific Island countries and Timor-Leste (delivered by DFAT/Home Affairs, in progress).</w:t>
            </w:r>
          </w:p>
          <w:p w14:paraId="46C851DA" w14:textId="77777777" w:rsidR="007B5347" w:rsidRPr="007B5347" w:rsidRDefault="007B5347" w:rsidP="008267F2">
            <w:pPr>
              <w:pStyle w:val="ListBullet"/>
              <w:rPr>
                <w:rFonts w:ascii="Verdana" w:hAnsi="Verdana"/>
                <w:sz w:val="16"/>
                <w:szCs w:val="16"/>
                <w:lang w:eastAsia="en-AU"/>
              </w:rPr>
            </w:pPr>
            <w:r w:rsidRPr="007B5347">
              <w:rPr>
                <w:rFonts w:ascii="Verdana" w:hAnsi="Verdana"/>
                <w:sz w:val="16"/>
                <w:szCs w:val="16"/>
                <w:lang w:eastAsia="en-AU"/>
              </w:rPr>
              <w:t>From 1 July 2024, removal of the specified work requirement for a second and third WHM visa for UK passport holders under the Australia-UK Free Trade Agreement (delivered by Home Affairs, in progress).</w:t>
            </w:r>
          </w:p>
          <w:p w14:paraId="0DF8F855" w14:textId="77777777" w:rsidR="007B5347" w:rsidRPr="007B5347" w:rsidRDefault="007B5347" w:rsidP="008267F2">
            <w:pPr>
              <w:pStyle w:val="ListBullet"/>
              <w:rPr>
                <w:rFonts w:ascii="Verdana" w:hAnsi="Verdana"/>
                <w:sz w:val="16"/>
                <w:szCs w:val="16"/>
                <w:lang w:eastAsia="en-AU"/>
              </w:rPr>
            </w:pPr>
            <w:r w:rsidRPr="007B5347">
              <w:rPr>
                <w:rFonts w:ascii="Verdana" w:hAnsi="Verdana"/>
                <w:sz w:val="16"/>
                <w:szCs w:val="16"/>
                <w:lang w:eastAsia="en-AU"/>
              </w:rPr>
              <w:t>Bring forward a package of measures to address migrant worker exploitation (delivered by DEWR and Home Affairs, in progress).</w:t>
            </w:r>
          </w:p>
        </w:tc>
        <w:tc>
          <w:tcPr>
            <w:tcW w:w="2914" w:type="dxa"/>
            <w:tcBorders>
              <w:top w:val="single" w:sz="6" w:space="0" w:color="auto"/>
              <w:left w:val="single" w:sz="6" w:space="0" w:color="auto"/>
              <w:bottom w:val="single" w:sz="6" w:space="0" w:color="auto"/>
              <w:right w:val="single" w:sz="6" w:space="0" w:color="auto"/>
            </w:tcBorders>
            <w:shd w:val="clear" w:color="auto" w:fill="auto"/>
            <w:hideMark/>
          </w:tcPr>
          <w:p w14:paraId="235B8A14" w14:textId="77777777" w:rsidR="007B5347" w:rsidRPr="007B5347" w:rsidRDefault="007B5347" w:rsidP="008267F2">
            <w:pPr>
              <w:pStyle w:val="ListBullet"/>
              <w:rPr>
                <w:rFonts w:ascii="Verdana" w:hAnsi="Verdana"/>
                <w:sz w:val="16"/>
                <w:szCs w:val="16"/>
                <w:lang w:eastAsia="en-AU"/>
              </w:rPr>
            </w:pPr>
            <w:r w:rsidRPr="007B5347">
              <w:rPr>
                <w:rFonts w:ascii="Verdana" w:hAnsi="Verdana"/>
                <w:sz w:val="16"/>
                <w:szCs w:val="16"/>
                <w:lang w:eastAsia="en-AU"/>
              </w:rPr>
              <w:t>Twelve-month Skills Agreement in 2023 to deliver 180,000 Fee-Free TAFE and vocational education places from January 2023 (delivered by DEWR, delivered).</w:t>
            </w:r>
          </w:p>
          <w:p w14:paraId="09CCF9C2" w14:textId="175B2CC0" w:rsidR="007B5347" w:rsidRPr="007B5347" w:rsidRDefault="007B5347" w:rsidP="008267F2">
            <w:pPr>
              <w:pStyle w:val="ListBullet"/>
              <w:rPr>
                <w:rFonts w:ascii="Verdana" w:hAnsi="Verdana"/>
                <w:sz w:val="16"/>
                <w:szCs w:val="16"/>
                <w:lang w:eastAsia="en-AU"/>
              </w:rPr>
            </w:pPr>
            <w:r w:rsidRPr="007B5347">
              <w:rPr>
                <w:rFonts w:ascii="Verdana" w:hAnsi="Verdana"/>
                <w:sz w:val="16"/>
                <w:szCs w:val="16"/>
                <w:lang w:eastAsia="en-AU"/>
              </w:rPr>
              <w:t>Support regions to coordinate employment and training solutions at a local level through the Local Jobs Program (delivered by DEWR, in progress). </w:t>
            </w:r>
          </w:p>
          <w:p w14:paraId="17964ED0" w14:textId="77777777" w:rsidR="007B5347" w:rsidRPr="007B5347" w:rsidRDefault="007B5347" w:rsidP="008267F2">
            <w:pPr>
              <w:pStyle w:val="ListBullet"/>
              <w:rPr>
                <w:rFonts w:ascii="Verdana" w:hAnsi="Verdana"/>
                <w:sz w:val="16"/>
                <w:szCs w:val="16"/>
                <w:lang w:eastAsia="en-AU"/>
              </w:rPr>
            </w:pPr>
            <w:r w:rsidRPr="007B5347">
              <w:rPr>
                <w:rFonts w:ascii="Verdana" w:hAnsi="Verdana"/>
                <w:sz w:val="16"/>
                <w:szCs w:val="16"/>
                <w:lang w:eastAsia="en-AU"/>
              </w:rPr>
              <w:t>Support new and existing self-employment and small business opportunities using the Self-Employment Assistance Program (delivered by DEWR, in progress).</w:t>
            </w:r>
          </w:p>
          <w:p w14:paraId="7C5A320A" w14:textId="77777777" w:rsidR="007B5347" w:rsidRPr="007B5347" w:rsidRDefault="007B5347" w:rsidP="008267F2">
            <w:pPr>
              <w:pStyle w:val="ListBullet"/>
              <w:rPr>
                <w:rFonts w:ascii="Verdana" w:hAnsi="Verdana"/>
                <w:sz w:val="16"/>
                <w:szCs w:val="16"/>
                <w:lang w:eastAsia="en-AU"/>
              </w:rPr>
            </w:pPr>
            <w:r w:rsidRPr="007B5347">
              <w:rPr>
                <w:rFonts w:ascii="Verdana" w:hAnsi="Verdana"/>
                <w:sz w:val="16"/>
                <w:szCs w:val="16"/>
                <w:lang w:eastAsia="en-AU"/>
              </w:rPr>
              <w:t>Work with Australian Standing Committee on Tourism (ASCOT) and relevant skills agencies to achieve national consistency of training programs and qualifications including the transferability of skills across jurisdictions (delivered by Austrade/state &amp; territory governments, in progress).</w:t>
            </w:r>
          </w:p>
          <w:p w14:paraId="2B3E977B" w14:textId="77777777" w:rsidR="007B5347" w:rsidRPr="007B5347" w:rsidRDefault="007B5347" w:rsidP="008267F2">
            <w:pPr>
              <w:pStyle w:val="ListBullet"/>
              <w:numPr>
                <w:ilvl w:val="0"/>
                <w:numId w:val="0"/>
              </w:numPr>
              <w:ind w:left="360"/>
              <w:rPr>
                <w:rFonts w:ascii="Verdana" w:hAnsi="Verdana"/>
                <w:sz w:val="16"/>
                <w:szCs w:val="16"/>
                <w:lang w:eastAsia="en-AU"/>
              </w:rPr>
            </w:pPr>
          </w:p>
        </w:tc>
        <w:tc>
          <w:tcPr>
            <w:tcW w:w="3268" w:type="dxa"/>
            <w:tcBorders>
              <w:top w:val="single" w:sz="6" w:space="0" w:color="auto"/>
              <w:left w:val="single" w:sz="6" w:space="0" w:color="auto"/>
              <w:bottom w:val="single" w:sz="6" w:space="0" w:color="auto"/>
              <w:right w:val="single" w:sz="6" w:space="0" w:color="auto"/>
            </w:tcBorders>
            <w:shd w:val="clear" w:color="auto" w:fill="auto"/>
            <w:hideMark/>
          </w:tcPr>
          <w:p w14:paraId="1B460840" w14:textId="77777777" w:rsidR="007B5347" w:rsidRPr="007B5347" w:rsidRDefault="007B5347" w:rsidP="008267F2">
            <w:pPr>
              <w:pStyle w:val="ListBullet"/>
              <w:rPr>
                <w:rFonts w:ascii="Verdana" w:hAnsi="Verdana"/>
                <w:sz w:val="16"/>
                <w:szCs w:val="16"/>
                <w:lang w:eastAsia="en-AU"/>
              </w:rPr>
            </w:pPr>
            <w:r w:rsidRPr="007B5347">
              <w:rPr>
                <w:rFonts w:ascii="Verdana" w:hAnsi="Verdana"/>
                <w:sz w:val="16"/>
                <w:szCs w:val="16"/>
                <w:lang w:eastAsia="en-AU"/>
              </w:rPr>
              <w:t>Opportunities to promote the visitor economy as a career of choice to school leavers, women, First Nations Australians, older Australians, and people with disability through the $7.5 million Choose Tourism Grant Program and other marketing measures (delivered by Austrade/state &amp; territory governments/Industry, in progress).</w:t>
            </w:r>
          </w:p>
        </w:tc>
      </w:tr>
    </w:tbl>
    <w:p w14:paraId="0149B4BA" w14:textId="77777777" w:rsidR="007B5347" w:rsidRDefault="007B5347" w:rsidP="007B5347">
      <w:pPr>
        <w:pStyle w:val="BulletList"/>
        <w:numPr>
          <w:ilvl w:val="0"/>
          <w:numId w:val="0"/>
        </w:numPr>
      </w:pPr>
    </w:p>
    <w:p w14:paraId="406A9C6B" w14:textId="77777777" w:rsidR="007B5347" w:rsidRDefault="007B5347" w:rsidP="007B5347">
      <w:pPr>
        <w:pStyle w:val="BulletList"/>
        <w:numPr>
          <w:ilvl w:val="0"/>
          <w:numId w:val="0"/>
        </w:numPr>
      </w:pPr>
    </w:p>
    <w:p w14:paraId="6D48F44F" w14:textId="77777777" w:rsidR="007B5347" w:rsidRDefault="007B5347" w:rsidP="007B5347">
      <w:pPr>
        <w:pStyle w:val="BulletList"/>
        <w:numPr>
          <w:ilvl w:val="0"/>
          <w:numId w:val="0"/>
        </w:numPr>
      </w:pPr>
    </w:p>
    <w:p w14:paraId="5864ED40" w14:textId="77777777" w:rsidR="007B5347" w:rsidRDefault="007B5347" w:rsidP="007B5347">
      <w:pPr>
        <w:pStyle w:val="BulletList"/>
        <w:numPr>
          <w:ilvl w:val="0"/>
          <w:numId w:val="0"/>
        </w:numPr>
      </w:pPr>
    </w:p>
    <w:p w14:paraId="03B30BDA" w14:textId="77777777" w:rsidR="007B5347" w:rsidRDefault="007B5347" w:rsidP="007B5347">
      <w:pPr>
        <w:pStyle w:val="BulletList"/>
        <w:numPr>
          <w:ilvl w:val="0"/>
          <w:numId w:val="0"/>
        </w:numPr>
      </w:pPr>
    </w:p>
    <w:p w14:paraId="0142CCEE" w14:textId="77777777" w:rsidR="007B5347" w:rsidRDefault="007B5347" w:rsidP="007B5347">
      <w:pPr>
        <w:pStyle w:val="BulletList"/>
        <w:numPr>
          <w:ilvl w:val="0"/>
          <w:numId w:val="0"/>
        </w:numPr>
      </w:pPr>
    </w:p>
    <w:p w14:paraId="2A42ED83" w14:textId="77777777" w:rsidR="007B5347" w:rsidRDefault="007B5347" w:rsidP="007B5347">
      <w:pPr>
        <w:pStyle w:val="BulletList"/>
        <w:numPr>
          <w:ilvl w:val="0"/>
          <w:numId w:val="0"/>
        </w:numPr>
      </w:pPr>
    </w:p>
    <w:tbl>
      <w:tblPr>
        <w:tblW w:w="15594"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63"/>
        <w:gridCol w:w="3207"/>
        <w:gridCol w:w="3215"/>
        <w:gridCol w:w="2864"/>
        <w:gridCol w:w="26"/>
        <w:gridCol w:w="3119"/>
      </w:tblGrid>
      <w:tr w:rsidR="007B5347" w:rsidRPr="0013422C" w14:paraId="26F70D06" w14:textId="77777777" w:rsidTr="007B5347">
        <w:trPr>
          <w:trHeight w:val="426"/>
          <w:tblHeader/>
          <w:jc w:val="center"/>
        </w:trPr>
        <w:tc>
          <w:tcPr>
            <w:tcW w:w="3163" w:type="dxa"/>
            <w:tcBorders>
              <w:top w:val="single" w:sz="6" w:space="0" w:color="auto"/>
              <w:left w:val="single" w:sz="6" w:space="0" w:color="auto"/>
              <w:bottom w:val="single" w:sz="6" w:space="0" w:color="auto"/>
              <w:right w:val="single" w:sz="6" w:space="0" w:color="auto"/>
            </w:tcBorders>
            <w:shd w:val="clear" w:color="auto" w:fill="173F35" w:themeFill="accent1"/>
          </w:tcPr>
          <w:p w14:paraId="1320A810" w14:textId="77777777" w:rsidR="007B5347" w:rsidRDefault="007B5347" w:rsidP="003A16D3">
            <w:pPr>
              <w:spacing w:before="0"/>
              <w:rPr>
                <w:color w:val="FFFFFF" w:themeColor="background1"/>
                <w:lang w:eastAsia="en-AU"/>
              </w:rPr>
            </w:pPr>
            <w:r w:rsidRPr="0013422C">
              <w:rPr>
                <w:rFonts w:eastAsia="Times New Roman" w:cs="Times New Roman"/>
                <w:b/>
                <w:bCs/>
                <w:color w:val="FFFFFF"/>
                <w:lang w:eastAsia="en-AU"/>
              </w:rPr>
              <w:t>Addressing Workforce</w:t>
            </w:r>
            <w:r>
              <w:rPr>
                <w:rFonts w:eastAsia="Times New Roman" w:cs="Times New Roman"/>
                <w:b/>
                <w:bCs/>
                <w:color w:val="FFFFFF"/>
                <w:lang w:eastAsia="en-AU"/>
              </w:rPr>
              <w:t xml:space="preserve"> </w:t>
            </w:r>
            <w:r w:rsidRPr="0013422C">
              <w:rPr>
                <w:rFonts w:eastAsia="Times New Roman" w:cs="Times New Roman"/>
                <w:b/>
                <w:bCs/>
                <w:color w:val="FFFFFF"/>
                <w:lang w:eastAsia="en-AU"/>
              </w:rPr>
              <w:t>Supply: Structural Challenges</w:t>
            </w:r>
          </w:p>
        </w:tc>
        <w:tc>
          <w:tcPr>
            <w:tcW w:w="3207" w:type="dxa"/>
            <w:tcBorders>
              <w:top w:val="single" w:sz="6" w:space="0" w:color="auto"/>
              <w:left w:val="single" w:sz="6" w:space="0" w:color="auto"/>
              <w:bottom w:val="single" w:sz="6" w:space="0" w:color="auto"/>
              <w:right w:val="single" w:sz="6" w:space="0" w:color="auto"/>
            </w:tcBorders>
            <w:shd w:val="clear" w:color="auto" w:fill="173F35" w:themeFill="accent1"/>
          </w:tcPr>
          <w:p w14:paraId="66DC1C31" w14:textId="77777777" w:rsidR="007B5347" w:rsidRDefault="007B5347" w:rsidP="003A16D3">
            <w:pPr>
              <w:spacing w:before="0" w:after="0"/>
              <w:rPr>
                <w:color w:val="FFFFFF" w:themeColor="background1"/>
                <w:lang w:eastAsia="en-AU"/>
              </w:rPr>
            </w:pPr>
            <w:r w:rsidRPr="0013422C">
              <w:rPr>
                <w:rFonts w:eastAsia="Times New Roman" w:cs="Times New Roman"/>
                <w:b/>
                <w:bCs/>
                <w:color w:val="FFFFFF"/>
                <w:lang w:eastAsia="en-AU"/>
              </w:rPr>
              <w:t>Addressing Workforce Supply: Domestic Workforce</w:t>
            </w:r>
          </w:p>
        </w:tc>
        <w:tc>
          <w:tcPr>
            <w:tcW w:w="3215" w:type="dxa"/>
            <w:tcBorders>
              <w:top w:val="single" w:sz="6" w:space="0" w:color="auto"/>
              <w:left w:val="single" w:sz="6" w:space="0" w:color="auto"/>
              <w:bottom w:val="single" w:sz="6" w:space="0" w:color="auto"/>
              <w:right w:val="single" w:sz="6" w:space="0" w:color="auto"/>
            </w:tcBorders>
            <w:shd w:val="clear" w:color="auto" w:fill="173F35" w:themeFill="accent1"/>
          </w:tcPr>
          <w:p w14:paraId="25326E5A" w14:textId="77777777" w:rsidR="007B5347" w:rsidRDefault="007B5347" w:rsidP="003A16D3">
            <w:pPr>
              <w:spacing w:before="0"/>
              <w:rPr>
                <w:color w:val="FFFFFF" w:themeColor="background1"/>
                <w:lang w:eastAsia="en-AU"/>
              </w:rPr>
            </w:pPr>
            <w:r w:rsidRPr="0013422C">
              <w:rPr>
                <w:rFonts w:eastAsia="Times New Roman" w:cs="Times New Roman"/>
                <w:b/>
                <w:bCs/>
                <w:color w:val="FFFFFF"/>
                <w:lang w:eastAsia="en-AU"/>
              </w:rPr>
              <w:t>Addressing Workforce Supply: International Workforce</w:t>
            </w:r>
          </w:p>
        </w:tc>
        <w:tc>
          <w:tcPr>
            <w:tcW w:w="2864" w:type="dxa"/>
            <w:tcBorders>
              <w:top w:val="single" w:sz="6" w:space="0" w:color="auto"/>
              <w:left w:val="single" w:sz="6" w:space="0" w:color="auto"/>
              <w:bottom w:val="single" w:sz="6" w:space="0" w:color="auto"/>
              <w:right w:val="single" w:sz="6" w:space="0" w:color="auto"/>
            </w:tcBorders>
            <w:shd w:val="clear" w:color="auto" w:fill="173F35" w:themeFill="accent1"/>
          </w:tcPr>
          <w:p w14:paraId="1AC0316A" w14:textId="77777777" w:rsidR="007B5347" w:rsidRDefault="007B5347" w:rsidP="003A16D3">
            <w:pPr>
              <w:spacing w:before="0"/>
              <w:rPr>
                <w:color w:val="FFFFFF" w:themeColor="background1"/>
                <w:lang w:eastAsia="en-AU"/>
              </w:rPr>
            </w:pPr>
            <w:r w:rsidRPr="0013422C">
              <w:rPr>
                <w:rFonts w:eastAsia="Times New Roman" w:cs="Times New Roman"/>
                <w:b/>
                <w:bCs/>
                <w:color w:val="FFFFFF"/>
                <w:lang w:eastAsia="en-AU"/>
              </w:rPr>
              <w:t>Skills: Improving Workforce Capability</w:t>
            </w:r>
          </w:p>
        </w:tc>
        <w:tc>
          <w:tcPr>
            <w:tcW w:w="3145" w:type="dxa"/>
            <w:gridSpan w:val="2"/>
            <w:tcBorders>
              <w:top w:val="single" w:sz="6" w:space="0" w:color="auto"/>
              <w:left w:val="single" w:sz="6" w:space="0" w:color="auto"/>
              <w:bottom w:val="single" w:sz="6" w:space="0" w:color="auto"/>
              <w:right w:val="single" w:sz="6" w:space="0" w:color="auto"/>
            </w:tcBorders>
            <w:shd w:val="clear" w:color="auto" w:fill="173F35" w:themeFill="accent1"/>
          </w:tcPr>
          <w:p w14:paraId="5A346442" w14:textId="77777777" w:rsidR="007B5347" w:rsidRDefault="007B5347" w:rsidP="003A16D3">
            <w:pPr>
              <w:spacing w:before="0"/>
              <w:rPr>
                <w:color w:val="FFFFFF" w:themeColor="background1"/>
                <w:lang w:eastAsia="en-AU"/>
              </w:rPr>
            </w:pPr>
            <w:r w:rsidRPr="0013422C">
              <w:rPr>
                <w:rFonts w:eastAsia="Times New Roman" w:cs="Times New Roman"/>
                <w:b/>
                <w:bCs/>
                <w:color w:val="FFFFFF"/>
                <w:lang w:eastAsia="en-AU"/>
              </w:rPr>
              <w:t>Career of Choice: Promoting the Visitor Economy</w:t>
            </w:r>
          </w:p>
        </w:tc>
      </w:tr>
      <w:tr w:rsidR="007B5347" w:rsidRPr="0013422C" w14:paraId="244D5DF9" w14:textId="77777777" w:rsidTr="007A3AFB">
        <w:trPr>
          <w:trHeight w:val="373"/>
          <w:jc w:val="center"/>
        </w:trPr>
        <w:tc>
          <w:tcPr>
            <w:tcW w:w="15594" w:type="dxa"/>
            <w:gridSpan w:val="6"/>
            <w:tcBorders>
              <w:top w:val="single" w:sz="6" w:space="0" w:color="auto"/>
              <w:left w:val="single" w:sz="6" w:space="0" w:color="auto"/>
              <w:bottom w:val="single" w:sz="6" w:space="0" w:color="auto"/>
              <w:right w:val="single" w:sz="6" w:space="0" w:color="auto"/>
            </w:tcBorders>
            <w:shd w:val="clear" w:color="auto" w:fill="216644" w:themeFill="accent3"/>
          </w:tcPr>
          <w:p w14:paraId="6EBB58DF" w14:textId="77777777" w:rsidR="007B5347" w:rsidRDefault="007B5347" w:rsidP="007A3AFB">
            <w:pPr>
              <w:spacing w:before="0" w:after="0"/>
              <w:jc w:val="center"/>
              <w:rPr>
                <w:color w:val="FFFFFF" w:themeColor="background1"/>
                <w:lang w:eastAsia="en-AU"/>
              </w:rPr>
            </w:pPr>
            <w:r>
              <w:rPr>
                <w:color w:val="FFFFFF" w:themeColor="background1"/>
                <w:lang w:eastAsia="en-AU"/>
              </w:rPr>
              <w:t>STATE AND TERRITORY GOVERNMENT ACTIONS</w:t>
            </w:r>
          </w:p>
        </w:tc>
      </w:tr>
      <w:tr w:rsidR="007B5347" w:rsidRPr="0013422C" w14:paraId="1D92E1F2" w14:textId="77777777" w:rsidTr="007B5347">
        <w:trPr>
          <w:trHeight w:val="426"/>
          <w:jc w:val="center"/>
        </w:trPr>
        <w:tc>
          <w:tcPr>
            <w:tcW w:w="3163" w:type="dxa"/>
            <w:tcBorders>
              <w:top w:val="single" w:sz="6" w:space="0" w:color="auto"/>
              <w:left w:val="single" w:sz="6" w:space="0" w:color="auto"/>
              <w:bottom w:val="single" w:sz="6" w:space="0" w:color="auto"/>
              <w:right w:val="single" w:sz="6" w:space="0" w:color="auto"/>
            </w:tcBorders>
            <w:shd w:val="clear" w:color="auto" w:fill="auto"/>
          </w:tcPr>
          <w:p w14:paraId="471ACFC8" w14:textId="77777777" w:rsidR="007B5347" w:rsidRPr="008303EE" w:rsidRDefault="007B5347" w:rsidP="007B5347">
            <w:pPr>
              <w:pStyle w:val="ListParagraph"/>
              <w:numPr>
                <w:ilvl w:val="0"/>
                <w:numId w:val="7"/>
              </w:numPr>
              <w:spacing w:before="0" w:after="0" w:line="240" w:lineRule="auto"/>
              <w:ind w:left="419" w:hanging="357"/>
              <w:textAlignment w:val="baseline"/>
              <w:rPr>
                <w:sz w:val="16"/>
                <w:szCs w:val="16"/>
                <w:lang w:eastAsia="en-AU"/>
              </w:rPr>
            </w:pPr>
            <w:r w:rsidRPr="56EF92B6">
              <w:rPr>
                <w:b/>
                <w:bCs/>
                <w:sz w:val="16"/>
                <w:szCs w:val="16"/>
                <w:lang w:eastAsia="en-AU"/>
              </w:rPr>
              <w:t xml:space="preserve">Queensland’s </w:t>
            </w:r>
            <w:hyperlink r:id="rId20">
              <w:r w:rsidRPr="56EF92B6">
                <w:rPr>
                  <w:rStyle w:val="Hyperlink"/>
                  <w:b/>
                  <w:bCs/>
                  <w:sz w:val="16"/>
                  <w:szCs w:val="16"/>
                  <w:lang w:eastAsia="en-AU"/>
                </w:rPr>
                <w:t>Towards Tourism 2032 Strategy</w:t>
              </w:r>
            </w:hyperlink>
            <w:r w:rsidRPr="56EF92B6">
              <w:rPr>
                <w:sz w:val="16"/>
                <w:szCs w:val="16"/>
                <w:lang w:eastAsia="en-AU"/>
              </w:rPr>
              <w:t xml:space="preserve"> includes an </w:t>
            </w:r>
            <w:r>
              <w:rPr>
                <w:sz w:val="16"/>
                <w:szCs w:val="16"/>
                <w:lang w:eastAsia="en-AU"/>
              </w:rPr>
              <w:t>a</w:t>
            </w:r>
            <w:r w:rsidRPr="56EF92B6">
              <w:rPr>
                <w:sz w:val="16"/>
                <w:szCs w:val="16"/>
                <w:lang w:eastAsia="en-AU"/>
              </w:rPr>
              <w:t>ction to “Consider opportunities to support the supply of affordable worker accommodation for tourism and hospitality staff and leverage the Housing and Homelessness Action Plan 2021–2025 investment towards social and affordable housing</w:t>
            </w:r>
            <w:r>
              <w:rPr>
                <w:sz w:val="16"/>
                <w:szCs w:val="16"/>
                <w:lang w:eastAsia="en-AU"/>
              </w:rPr>
              <w:t>”</w:t>
            </w:r>
            <w:r w:rsidRPr="56EF92B6">
              <w:rPr>
                <w:sz w:val="16"/>
                <w:szCs w:val="16"/>
                <w:lang w:eastAsia="en-AU"/>
              </w:rPr>
              <w:t xml:space="preserve"> (p</w:t>
            </w:r>
            <w:r>
              <w:rPr>
                <w:sz w:val="16"/>
                <w:szCs w:val="16"/>
                <w:lang w:eastAsia="en-AU"/>
              </w:rPr>
              <w:t>g</w:t>
            </w:r>
            <w:r w:rsidRPr="56EF92B6">
              <w:rPr>
                <w:sz w:val="16"/>
                <w:szCs w:val="16"/>
                <w:lang w:eastAsia="en-AU"/>
              </w:rPr>
              <w:t>. 23)</w:t>
            </w:r>
            <w:r>
              <w:rPr>
                <w:sz w:val="16"/>
                <w:szCs w:val="16"/>
                <w:lang w:eastAsia="en-AU"/>
              </w:rPr>
              <w:t>.</w:t>
            </w:r>
          </w:p>
          <w:p w14:paraId="6AA1F994" w14:textId="77777777" w:rsidR="007B5347" w:rsidRPr="008303EE" w:rsidRDefault="007B5347" w:rsidP="007B5347">
            <w:pPr>
              <w:pStyle w:val="ListParagraph"/>
              <w:numPr>
                <w:ilvl w:val="0"/>
                <w:numId w:val="7"/>
              </w:numPr>
              <w:spacing w:before="0" w:after="0" w:line="240" w:lineRule="auto"/>
              <w:ind w:left="419" w:hanging="357"/>
              <w:textAlignment w:val="baseline"/>
              <w:rPr>
                <w:sz w:val="16"/>
                <w:szCs w:val="16"/>
                <w:lang w:eastAsia="en-AU"/>
              </w:rPr>
            </w:pPr>
            <w:r w:rsidRPr="1A4F77AC">
              <w:rPr>
                <w:sz w:val="16"/>
                <w:szCs w:val="16"/>
                <w:lang w:eastAsia="en-AU"/>
              </w:rPr>
              <w:t xml:space="preserve">The </w:t>
            </w:r>
            <w:r w:rsidRPr="1A4F77AC">
              <w:rPr>
                <w:b/>
                <w:bCs/>
                <w:sz w:val="16"/>
                <w:szCs w:val="16"/>
                <w:lang w:eastAsia="en-AU"/>
              </w:rPr>
              <w:t xml:space="preserve">Queensland </w:t>
            </w:r>
            <w:r w:rsidRPr="1A4F77AC">
              <w:rPr>
                <w:i/>
                <w:iCs/>
                <w:sz w:val="16"/>
                <w:szCs w:val="16"/>
                <w:lang w:eastAsia="en-AU"/>
              </w:rPr>
              <w:t>Work in Paradise</w:t>
            </w:r>
            <w:r w:rsidRPr="1A4F77AC">
              <w:rPr>
                <w:sz w:val="16"/>
                <w:szCs w:val="16"/>
                <w:lang w:eastAsia="en-AU"/>
              </w:rPr>
              <w:t xml:space="preserve"> Tourism and Hospitality Jobs website portal connects job seekers with potential employers, profiles skills in demand and training opportunities. </w:t>
            </w:r>
          </w:p>
          <w:p w14:paraId="62F09F5F" w14:textId="77777777" w:rsidR="007B5347" w:rsidRDefault="007B5347" w:rsidP="007B5347">
            <w:pPr>
              <w:pStyle w:val="ListParagraph"/>
              <w:numPr>
                <w:ilvl w:val="0"/>
                <w:numId w:val="7"/>
              </w:numPr>
              <w:spacing w:before="0" w:after="0" w:line="240" w:lineRule="auto"/>
              <w:ind w:left="419" w:hanging="357"/>
              <w:contextualSpacing w:val="0"/>
              <w:textAlignment w:val="baseline"/>
              <w:rPr>
                <w:sz w:val="16"/>
                <w:szCs w:val="16"/>
                <w:lang w:eastAsia="en-AU"/>
              </w:rPr>
            </w:pPr>
            <w:r w:rsidRPr="1A4F77AC">
              <w:rPr>
                <w:sz w:val="16"/>
                <w:szCs w:val="16"/>
                <w:lang w:eastAsia="en-AU"/>
              </w:rPr>
              <w:t xml:space="preserve">The </w:t>
            </w:r>
            <w:r w:rsidRPr="1A4F77AC">
              <w:rPr>
                <w:b/>
                <w:bCs/>
                <w:sz w:val="16"/>
                <w:szCs w:val="16"/>
                <w:lang w:eastAsia="en-AU"/>
              </w:rPr>
              <w:t xml:space="preserve">Tasmanian Government </w:t>
            </w:r>
            <w:r w:rsidRPr="1A4F77AC">
              <w:rPr>
                <w:sz w:val="16"/>
                <w:szCs w:val="16"/>
                <w:lang w:eastAsia="en-AU"/>
              </w:rPr>
              <w:t xml:space="preserve">has established the </w:t>
            </w:r>
            <w:hyperlink r:id="rId21">
              <w:r w:rsidRPr="00BA5271">
                <w:rPr>
                  <w:rStyle w:val="Hyperlink"/>
                  <w:b/>
                  <w:bCs/>
                  <w:sz w:val="16"/>
                  <w:szCs w:val="16"/>
                  <w:lang w:eastAsia="en-AU"/>
                </w:rPr>
                <w:t>Tasmanian Tourism and Hospitality Jobs portal</w:t>
              </w:r>
            </w:hyperlink>
            <w:r w:rsidRPr="00BA5271">
              <w:rPr>
                <w:rStyle w:val="Hyperlink"/>
                <w:b/>
                <w:bCs/>
              </w:rPr>
              <w:t>.</w:t>
            </w:r>
            <w:r w:rsidRPr="1A4F77AC">
              <w:rPr>
                <w:sz w:val="16"/>
                <w:szCs w:val="16"/>
                <w:lang w:eastAsia="en-AU"/>
              </w:rPr>
              <w:t xml:space="preserve"> Funded under the </w:t>
            </w:r>
            <w:r>
              <w:rPr>
                <w:sz w:val="16"/>
                <w:szCs w:val="16"/>
                <w:lang w:eastAsia="en-AU"/>
              </w:rPr>
              <w:t>Australian</w:t>
            </w:r>
            <w:r w:rsidRPr="1A4F77AC">
              <w:rPr>
                <w:sz w:val="16"/>
                <w:szCs w:val="16"/>
                <w:lang w:eastAsia="en-AU"/>
              </w:rPr>
              <w:t xml:space="preserve"> Government’s Recovery for Regional Tourism </w:t>
            </w:r>
            <w:r>
              <w:rPr>
                <w:sz w:val="16"/>
                <w:szCs w:val="16"/>
                <w:lang w:eastAsia="en-AU"/>
              </w:rPr>
              <w:t>P</w:t>
            </w:r>
            <w:r w:rsidRPr="1A4F77AC">
              <w:rPr>
                <w:sz w:val="16"/>
                <w:szCs w:val="16"/>
                <w:lang w:eastAsia="en-AU"/>
              </w:rPr>
              <w:t xml:space="preserve">rogram, an initiative of the $1 billion COVID-19 Relief and Recovery Fund, the portal is a free, fast, and easy way for Tasmanian tourism and hospitality businesses to connect with potential new employees. Employers can load jobs on to the site and prospective employees can use their smartphones to access the full position description and apply directly online. The portal also includes training resources, employer resources and a community notice board. </w:t>
            </w:r>
          </w:p>
          <w:p w14:paraId="441EDBF9" w14:textId="77777777" w:rsidR="007B5347" w:rsidRPr="00714294" w:rsidRDefault="007B5347" w:rsidP="007B5347">
            <w:pPr>
              <w:pStyle w:val="ListParagraph"/>
              <w:numPr>
                <w:ilvl w:val="0"/>
                <w:numId w:val="7"/>
              </w:numPr>
              <w:spacing w:before="0" w:after="0" w:line="240" w:lineRule="auto"/>
              <w:ind w:left="419" w:hanging="357"/>
              <w:textAlignment w:val="baseline"/>
              <w:rPr>
                <w:sz w:val="16"/>
                <w:szCs w:val="16"/>
                <w:lang w:eastAsia="en-AU"/>
              </w:rPr>
            </w:pPr>
            <w:r w:rsidRPr="1A4F77AC">
              <w:rPr>
                <w:b/>
                <w:bCs/>
                <w:sz w:val="16"/>
                <w:szCs w:val="16"/>
                <w:lang w:eastAsia="en-AU"/>
              </w:rPr>
              <w:t>Victoria</w:t>
            </w:r>
            <w:r w:rsidRPr="1A4F77AC">
              <w:rPr>
                <w:sz w:val="16"/>
                <w:szCs w:val="16"/>
                <w:lang w:eastAsia="en-AU"/>
              </w:rPr>
              <w:t xml:space="preserve"> is building tourism-specific digital and business capabilities and investing in skills and workforce planning – including through strategic and coordinated collaboration with industry – through the </w:t>
            </w:r>
            <w:hyperlink r:id="rId22" w:history="1">
              <w:r w:rsidRPr="00714294">
                <w:rPr>
                  <w:rStyle w:val="Hyperlink"/>
                  <w:b/>
                  <w:sz w:val="16"/>
                  <w:szCs w:val="16"/>
                </w:rPr>
                <w:t>Visitor Economy Recovery and Reform Plan</w:t>
              </w:r>
            </w:hyperlink>
            <w:r w:rsidRPr="00714294">
              <w:rPr>
                <w:b/>
                <w:sz w:val="16"/>
                <w:szCs w:val="16"/>
                <w:lang w:eastAsia="en-AU"/>
              </w:rPr>
              <w:t xml:space="preserve"> </w:t>
            </w:r>
            <w:r w:rsidRPr="00714294">
              <w:rPr>
                <w:sz w:val="16"/>
                <w:szCs w:val="16"/>
                <w:lang w:eastAsia="en-AU"/>
              </w:rPr>
              <w:t xml:space="preserve">and </w:t>
            </w:r>
            <w:hyperlink r:id="rId23" w:history="1">
              <w:r w:rsidRPr="00714294">
                <w:rPr>
                  <w:rStyle w:val="Hyperlink"/>
                  <w:b/>
                  <w:sz w:val="16"/>
                  <w:szCs w:val="16"/>
                </w:rPr>
                <w:t>Experience Victoria 2033</w:t>
              </w:r>
            </w:hyperlink>
            <w:r w:rsidRPr="00714294">
              <w:rPr>
                <w:b/>
                <w:bCs/>
                <w:sz w:val="16"/>
                <w:szCs w:val="16"/>
                <w:lang w:eastAsia="en-AU"/>
              </w:rPr>
              <w:t>.</w:t>
            </w:r>
            <w:r w:rsidRPr="00714294">
              <w:rPr>
                <w:sz w:val="16"/>
                <w:szCs w:val="16"/>
                <w:lang w:eastAsia="en-AU"/>
              </w:rPr>
              <w:t xml:space="preserve"> </w:t>
            </w:r>
          </w:p>
          <w:p w14:paraId="6EE9BED7" w14:textId="77777777" w:rsidR="007B5347" w:rsidRPr="008303EE" w:rsidRDefault="007B5347" w:rsidP="007B5347">
            <w:pPr>
              <w:pStyle w:val="ListParagraph"/>
              <w:numPr>
                <w:ilvl w:val="0"/>
                <w:numId w:val="7"/>
              </w:numPr>
              <w:spacing w:before="0" w:after="0" w:line="240" w:lineRule="auto"/>
              <w:ind w:left="419" w:hanging="357"/>
              <w:contextualSpacing w:val="0"/>
              <w:textAlignment w:val="baseline"/>
              <w:rPr>
                <w:sz w:val="16"/>
                <w:szCs w:val="16"/>
                <w:lang w:eastAsia="en-AU"/>
              </w:rPr>
            </w:pPr>
            <w:r w:rsidRPr="00714294">
              <w:rPr>
                <w:sz w:val="16"/>
                <w:szCs w:val="16"/>
                <w:lang w:eastAsia="en-AU"/>
              </w:rPr>
              <w:t xml:space="preserve">The </w:t>
            </w:r>
            <w:r w:rsidRPr="00714294">
              <w:rPr>
                <w:b/>
                <w:bCs/>
                <w:sz w:val="16"/>
                <w:szCs w:val="16"/>
                <w:lang w:eastAsia="en-AU"/>
              </w:rPr>
              <w:t>South Australian</w:t>
            </w:r>
            <w:r w:rsidRPr="1A4F77AC">
              <w:rPr>
                <w:sz w:val="16"/>
                <w:szCs w:val="16"/>
                <w:lang w:eastAsia="en-AU"/>
              </w:rPr>
              <w:t xml:space="preserve"> </w:t>
            </w:r>
            <w:hyperlink r:id="rId24">
              <w:r w:rsidRPr="1A4F77AC">
                <w:rPr>
                  <w:rStyle w:val="Hyperlink"/>
                  <w:b/>
                  <w:bCs/>
                  <w:sz w:val="16"/>
                  <w:szCs w:val="16"/>
                  <w:lang w:eastAsia="en-AU"/>
                </w:rPr>
                <w:t>Tourism Workforce Directions Paper</w:t>
              </w:r>
            </w:hyperlink>
            <w:r w:rsidRPr="1A4F77AC">
              <w:rPr>
                <w:sz w:val="16"/>
                <w:szCs w:val="16"/>
                <w:lang w:eastAsia="en-AU"/>
              </w:rPr>
              <w:t xml:space="preserve"> calls for an investigation of the potential for different operators to co-operate and share workers to ensure provision of optimal hours and to provide broader experience to the employees. </w:t>
            </w:r>
          </w:p>
          <w:p w14:paraId="184B20B7" w14:textId="77777777" w:rsidR="007B5347" w:rsidRDefault="007B5347" w:rsidP="008267F2">
            <w:pPr>
              <w:spacing w:after="0" w:line="240" w:lineRule="auto"/>
              <w:textAlignment w:val="baseline"/>
              <w:rPr>
                <w:sz w:val="16"/>
                <w:szCs w:val="16"/>
                <w:lang w:eastAsia="en-AU"/>
              </w:rPr>
            </w:pPr>
          </w:p>
          <w:p w14:paraId="1532C175" w14:textId="77777777" w:rsidR="007B5347" w:rsidRDefault="007B5347" w:rsidP="008267F2">
            <w:pPr>
              <w:rPr>
                <w:color w:val="FFFFFF" w:themeColor="background1"/>
                <w:lang w:eastAsia="en-AU"/>
              </w:rPr>
            </w:pPr>
          </w:p>
        </w:tc>
        <w:tc>
          <w:tcPr>
            <w:tcW w:w="3207" w:type="dxa"/>
            <w:tcBorders>
              <w:top w:val="single" w:sz="6" w:space="0" w:color="auto"/>
              <w:left w:val="single" w:sz="6" w:space="0" w:color="auto"/>
              <w:bottom w:val="single" w:sz="6" w:space="0" w:color="auto"/>
              <w:right w:val="single" w:sz="6" w:space="0" w:color="auto"/>
            </w:tcBorders>
            <w:shd w:val="clear" w:color="auto" w:fill="auto"/>
          </w:tcPr>
          <w:p w14:paraId="57346917" w14:textId="77777777" w:rsidR="007B5347" w:rsidRPr="00714294" w:rsidRDefault="007B5347" w:rsidP="007B5347">
            <w:pPr>
              <w:pStyle w:val="ListParagraph"/>
              <w:numPr>
                <w:ilvl w:val="0"/>
                <w:numId w:val="11"/>
              </w:numPr>
              <w:spacing w:before="0" w:after="0" w:line="240" w:lineRule="auto"/>
              <w:ind w:left="360"/>
              <w:contextualSpacing w:val="0"/>
              <w:textAlignment w:val="baseline"/>
              <w:rPr>
                <w:lang w:eastAsia="en-AU"/>
              </w:rPr>
            </w:pPr>
            <w:r w:rsidRPr="0543E0B0">
              <w:rPr>
                <w:b/>
                <w:bCs/>
                <w:sz w:val="16"/>
                <w:szCs w:val="16"/>
                <w:lang w:eastAsia="en-AU"/>
              </w:rPr>
              <w:t xml:space="preserve">Queensland’s </w:t>
            </w:r>
            <w:hyperlink r:id="rId25">
              <w:r w:rsidRPr="0543E0B0">
                <w:rPr>
                  <w:rStyle w:val="Hyperlink"/>
                  <w:b/>
                  <w:bCs/>
                  <w:sz w:val="16"/>
                  <w:szCs w:val="16"/>
                  <w:lang w:eastAsia="en-AU"/>
                </w:rPr>
                <w:t>Towards Tourism 2032 Strategy</w:t>
              </w:r>
            </w:hyperlink>
            <w:r w:rsidRPr="0543E0B0">
              <w:rPr>
                <w:b/>
                <w:bCs/>
                <w:sz w:val="16"/>
                <w:szCs w:val="16"/>
                <w:lang w:eastAsia="en-AU"/>
              </w:rPr>
              <w:t xml:space="preserve"> </w:t>
            </w:r>
            <w:r w:rsidRPr="0543E0B0">
              <w:rPr>
                <w:sz w:val="16"/>
                <w:szCs w:val="16"/>
                <w:lang w:eastAsia="en-AU"/>
              </w:rPr>
              <w:t>will attract mature workers to the tourism industry, connecting them to jobs and promoting the lifestyle benefits wo</w:t>
            </w:r>
            <w:r w:rsidRPr="00714294">
              <w:rPr>
                <w:sz w:val="16"/>
                <w:szCs w:val="16"/>
                <w:lang w:eastAsia="en-AU"/>
              </w:rPr>
              <w:t>rking in tourism can offer.</w:t>
            </w:r>
          </w:p>
          <w:p w14:paraId="10B06B0E" w14:textId="77777777" w:rsidR="007B5347" w:rsidRPr="00714294" w:rsidRDefault="007B5347" w:rsidP="007B5347">
            <w:pPr>
              <w:pStyle w:val="ListParagraph"/>
              <w:numPr>
                <w:ilvl w:val="0"/>
                <w:numId w:val="11"/>
              </w:numPr>
              <w:spacing w:before="0" w:after="0" w:line="240" w:lineRule="auto"/>
              <w:ind w:left="360"/>
              <w:contextualSpacing w:val="0"/>
              <w:textAlignment w:val="baseline"/>
              <w:rPr>
                <w:lang w:eastAsia="en-AU"/>
              </w:rPr>
            </w:pPr>
            <w:r w:rsidRPr="00714294">
              <w:rPr>
                <w:sz w:val="16"/>
                <w:szCs w:val="16"/>
                <w:lang w:eastAsia="en-AU"/>
              </w:rPr>
              <w:t xml:space="preserve">The </w:t>
            </w:r>
            <w:r w:rsidRPr="00714294">
              <w:rPr>
                <w:b/>
                <w:bCs/>
                <w:sz w:val="16"/>
                <w:szCs w:val="16"/>
                <w:lang w:eastAsia="en-AU"/>
              </w:rPr>
              <w:t xml:space="preserve">NT Aboriginal Tourism Strategy 2030 </w:t>
            </w:r>
            <w:r w:rsidRPr="00714294">
              <w:rPr>
                <w:sz w:val="16"/>
                <w:szCs w:val="16"/>
                <w:lang w:eastAsia="en-AU"/>
              </w:rPr>
              <w:t xml:space="preserve">identifies building tourism skills and job development for Aboriginal people as a priority action. </w:t>
            </w:r>
          </w:p>
          <w:p w14:paraId="5B07A770" w14:textId="77777777" w:rsidR="007B5347" w:rsidRPr="009A5EAF" w:rsidRDefault="007B5347" w:rsidP="007B5347">
            <w:pPr>
              <w:pStyle w:val="ListParagraph"/>
              <w:numPr>
                <w:ilvl w:val="0"/>
                <w:numId w:val="11"/>
              </w:numPr>
              <w:spacing w:before="0" w:after="0" w:line="240" w:lineRule="auto"/>
              <w:ind w:left="360"/>
              <w:contextualSpacing w:val="0"/>
              <w:textAlignment w:val="baseline"/>
              <w:rPr>
                <w:lang w:eastAsia="en-AU"/>
              </w:rPr>
            </w:pPr>
            <w:r w:rsidRPr="00714294">
              <w:rPr>
                <w:sz w:val="16"/>
                <w:szCs w:val="16"/>
                <w:lang w:eastAsia="en-AU"/>
              </w:rPr>
              <w:t>The</w:t>
            </w:r>
            <w:r w:rsidRPr="00714294">
              <w:rPr>
                <w:b/>
                <w:bCs/>
                <w:sz w:val="16"/>
                <w:szCs w:val="16"/>
                <w:lang w:eastAsia="en-AU"/>
              </w:rPr>
              <w:t xml:space="preserve"> Western Australian </w:t>
            </w:r>
            <w:hyperlink r:id="rId26">
              <w:r w:rsidRPr="00714294">
                <w:rPr>
                  <w:rStyle w:val="Hyperlink"/>
                  <w:b/>
                  <w:bCs/>
                  <w:sz w:val="16"/>
                  <w:szCs w:val="16"/>
                  <w:lang w:eastAsia="en-AU"/>
                </w:rPr>
                <w:t>Aboriginal Tourism Action Plan (2021-2025)</w:t>
              </w:r>
            </w:hyperlink>
            <w:r w:rsidRPr="0543E0B0">
              <w:rPr>
                <w:b/>
                <w:bCs/>
                <w:sz w:val="16"/>
                <w:szCs w:val="16"/>
                <w:lang w:eastAsia="en-AU"/>
              </w:rPr>
              <w:t xml:space="preserve"> </w:t>
            </w:r>
            <w:r w:rsidRPr="0543E0B0">
              <w:rPr>
                <w:sz w:val="16"/>
                <w:szCs w:val="16"/>
                <w:lang w:eastAsia="en-AU"/>
              </w:rPr>
              <w:t>is building the capacity for Aboriginal people to enter the tourism sector and supporting Aboriginal people with an aspiration to start their own Aboriginal tourism business.</w:t>
            </w:r>
          </w:p>
          <w:p w14:paraId="4FAF6C19" w14:textId="77777777" w:rsidR="007B5347" w:rsidRPr="00FA64ED" w:rsidRDefault="007B5347" w:rsidP="007B5347">
            <w:pPr>
              <w:pStyle w:val="ListParagraph"/>
              <w:numPr>
                <w:ilvl w:val="0"/>
                <w:numId w:val="11"/>
              </w:numPr>
              <w:spacing w:before="0" w:after="0" w:line="240" w:lineRule="auto"/>
              <w:ind w:left="360"/>
              <w:textAlignment w:val="baseline"/>
              <w:rPr>
                <w:sz w:val="16"/>
                <w:szCs w:val="16"/>
                <w:lang w:eastAsia="en-AU"/>
              </w:rPr>
            </w:pPr>
            <w:r w:rsidRPr="0543E0B0">
              <w:rPr>
                <w:sz w:val="16"/>
                <w:szCs w:val="16"/>
                <w:lang w:eastAsia="en-AU"/>
              </w:rPr>
              <w:t xml:space="preserve">The </w:t>
            </w:r>
            <w:r w:rsidRPr="0543E0B0">
              <w:rPr>
                <w:b/>
                <w:bCs/>
                <w:sz w:val="16"/>
                <w:szCs w:val="16"/>
                <w:lang w:eastAsia="en-AU"/>
              </w:rPr>
              <w:t>South Australian</w:t>
            </w:r>
            <w:r w:rsidRPr="0543E0B0">
              <w:rPr>
                <w:sz w:val="16"/>
                <w:szCs w:val="16"/>
                <w:lang w:eastAsia="en-AU"/>
              </w:rPr>
              <w:t xml:space="preserve"> </w:t>
            </w:r>
            <w:hyperlink r:id="rId27">
              <w:r w:rsidRPr="0543E0B0">
                <w:rPr>
                  <w:rStyle w:val="Hyperlink"/>
                  <w:b/>
                  <w:bCs/>
                  <w:sz w:val="16"/>
                  <w:szCs w:val="16"/>
                  <w:lang w:eastAsia="en-AU"/>
                </w:rPr>
                <w:t>Tourism Workforce Directions Paper</w:t>
              </w:r>
            </w:hyperlink>
            <w:r w:rsidRPr="0543E0B0">
              <w:rPr>
                <w:b/>
                <w:bCs/>
                <w:sz w:val="16"/>
                <w:szCs w:val="16"/>
                <w:lang w:eastAsia="en-AU"/>
              </w:rPr>
              <w:t xml:space="preserve"> </w:t>
            </w:r>
            <w:r w:rsidRPr="0543E0B0">
              <w:rPr>
                <w:sz w:val="16"/>
                <w:szCs w:val="16"/>
                <w:lang w:eastAsia="en-AU"/>
              </w:rPr>
              <w:t xml:space="preserve">sets a path to broaden the pool of domestic sourced workers, including investigating linkages to programs that provide employment opportunities for disadvantaged groups, and working with operators to understand the barriers and potential for stronger engagement with disadvantaged groups. </w:t>
            </w:r>
          </w:p>
          <w:p w14:paraId="17D2D0F4" w14:textId="77777777" w:rsidR="007B5347" w:rsidRDefault="007B5347" w:rsidP="007B5347">
            <w:pPr>
              <w:pStyle w:val="ListParagraph"/>
              <w:numPr>
                <w:ilvl w:val="0"/>
                <w:numId w:val="11"/>
              </w:numPr>
              <w:spacing w:before="0" w:after="0" w:line="240" w:lineRule="auto"/>
              <w:ind w:left="360"/>
              <w:rPr>
                <w:sz w:val="16"/>
                <w:szCs w:val="16"/>
                <w:lang w:eastAsia="en-AU"/>
              </w:rPr>
            </w:pPr>
            <w:r w:rsidRPr="0543E0B0">
              <w:rPr>
                <w:sz w:val="16"/>
                <w:szCs w:val="16"/>
                <w:lang w:eastAsia="en-AU"/>
              </w:rPr>
              <w:t xml:space="preserve">Jobs Tasmania, the </w:t>
            </w:r>
            <w:r w:rsidRPr="0543E0B0">
              <w:rPr>
                <w:b/>
                <w:bCs/>
                <w:sz w:val="16"/>
                <w:szCs w:val="16"/>
                <w:lang w:eastAsia="en-AU"/>
              </w:rPr>
              <w:t>Tasmanian Government’s</w:t>
            </w:r>
            <w:r w:rsidRPr="0543E0B0">
              <w:rPr>
                <w:sz w:val="16"/>
                <w:szCs w:val="16"/>
                <w:lang w:eastAsia="en-AU"/>
              </w:rPr>
              <w:t xml:space="preserve"> business unit</w:t>
            </w:r>
            <w:r>
              <w:rPr>
                <w:sz w:val="16"/>
                <w:szCs w:val="16"/>
                <w:lang w:eastAsia="en-AU"/>
              </w:rPr>
              <w:t>, is</w:t>
            </w:r>
            <w:r w:rsidRPr="0543E0B0">
              <w:rPr>
                <w:sz w:val="16"/>
                <w:szCs w:val="16"/>
                <w:lang w:eastAsia="en-AU"/>
              </w:rPr>
              <w:t xml:space="preserve"> establishing the Regional Jobs Hub Network, and other related employment and participation programs which support and connect employers with the domestic workforce.</w:t>
            </w:r>
          </w:p>
          <w:p w14:paraId="0DA6DA44" w14:textId="77777777" w:rsidR="007B5347" w:rsidRDefault="007B5347" w:rsidP="008267F2">
            <w:pPr>
              <w:pStyle w:val="ListParagraph"/>
              <w:spacing w:after="0" w:line="240" w:lineRule="auto"/>
              <w:ind w:left="360"/>
              <w:contextualSpacing w:val="0"/>
              <w:textAlignment w:val="baseline"/>
              <w:rPr>
                <w:lang w:eastAsia="en-AU"/>
              </w:rPr>
            </w:pPr>
          </w:p>
          <w:p w14:paraId="551009F7" w14:textId="77777777" w:rsidR="007B5347" w:rsidRDefault="007B5347" w:rsidP="008267F2">
            <w:pPr>
              <w:rPr>
                <w:color w:val="FFFFFF" w:themeColor="background1"/>
                <w:lang w:eastAsia="en-AU"/>
              </w:rPr>
            </w:pPr>
          </w:p>
        </w:tc>
        <w:tc>
          <w:tcPr>
            <w:tcW w:w="3215" w:type="dxa"/>
            <w:tcBorders>
              <w:top w:val="single" w:sz="6" w:space="0" w:color="auto"/>
              <w:left w:val="single" w:sz="6" w:space="0" w:color="auto"/>
              <w:bottom w:val="single" w:sz="6" w:space="0" w:color="auto"/>
              <w:right w:val="single" w:sz="6" w:space="0" w:color="auto"/>
            </w:tcBorders>
            <w:shd w:val="clear" w:color="auto" w:fill="auto"/>
          </w:tcPr>
          <w:p w14:paraId="635B2976" w14:textId="77777777" w:rsidR="007B5347" w:rsidRDefault="007B5347" w:rsidP="007B5347">
            <w:pPr>
              <w:pStyle w:val="ListParagraph"/>
              <w:numPr>
                <w:ilvl w:val="0"/>
                <w:numId w:val="8"/>
              </w:numPr>
              <w:spacing w:before="0" w:after="0" w:line="240" w:lineRule="auto"/>
              <w:ind w:left="380" w:hanging="357"/>
              <w:contextualSpacing w:val="0"/>
              <w:textAlignment w:val="baseline"/>
              <w:rPr>
                <w:sz w:val="16"/>
                <w:szCs w:val="16"/>
                <w:lang w:eastAsia="en-AU"/>
              </w:rPr>
            </w:pPr>
            <w:r w:rsidRPr="1A4F77AC">
              <w:rPr>
                <w:sz w:val="16"/>
                <w:szCs w:val="16"/>
                <w:lang w:eastAsia="en-AU"/>
              </w:rPr>
              <w:t xml:space="preserve">All </w:t>
            </w:r>
            <w:r>
              <w:rPr>
                <w:sz w:val="16"/>
                <w:szCs w:val="16"/>
                <w:lang w:eastAsia="en-AU"/>
              </w:rPr>
              <w:t>s</w:t>
            </w:r>
            <w:r w:rsidRPr="008C6087">
              <w:rPr>
                <w:sz w:val="16"/>
                <w:szCs w:val="16"/>
                <w:lang w:eastAsia="en-AU"/>
              </w:rPr>
              <w:t>tate and territory</w:t>
            </w:r>
            <w:r w:rsidRPr="1A4F77AC">
              <w:rPr>
                <w:sz w:val="16"/>
                <w:szCs w:val="16"/>
                <w:lang w:eastAsia="en-AU"/>
              </w:rPr>
              <w:t xml:space="preserve"> </w:t>
            </w:r>
            <w:r w:rsidRPr="008C6087">
              <w:rPr>
                <w:sz w:val="16"/>
                <w:szCs w:val="16"/>
                <w:lang w:eastAsia="en-AU"/>
              </w:rPr>
              <w:t>governments</w:t>
            </w:r>
            <w:r w:rsidRPr="1A4F77AC">
              <w:rPr>
                <w:sz w:val="16"/>
                <w:szCs w:val="16"/>
                <w:lang w:eastAsia="en-AU"/>
              </w:rPr>
              <w:t xml:space="preserve"> are aware of the critical importance of migran</w:t>
            </w:r>
            <w:r>
              <w:rPr>
                <w:sz w:val="16"/>
                <w:szCs w:val="16"/>
                <w:lang w:eastAsia="en-AU"/>
              </w:rPr>
              <w:t>t</w:t>
            </w:r>
            <w:r w:rsidRPr="1A4F77AC">
              <w:rPr>
                <w:sz w:val="16"/>
                <w:szCs w:val="16"/>
                <w:lang w:eastAsia="en-AU"/>
              </w:rPr>
              <w:t>s to the visitor economy</w:t>
            </w:r>
            <w:r>
              <w:rPr>
                <w:sz w:val="16"/>
                <w:szCs w:val="16"/>
                <w:lang w:eastAsia="en-AU"/>
              </w:rPr>
              <w:t xml:space="preserve"> workforce</w:t>
            </w:r>
            <w:r w:rsidRPr="1A4F77AC">
              <w:rPr>
                <w:sz w:val="16"/>
                <w:szCs w:val="16"/>
                <w:lang w:eastAsia="en-AU"/>
              </w:rPr>
              <w:t xml:space="preserve">, particularly in the immediate term. </w:t>
            </w:r>
          </w:p>
          <w:p w14:paraId="3B5280D0" w14:textId="77777777" w:rsidR="007B5347" w:rsidRPr="00330DCC" w:rsidRDefault="007B5347" w:rsidP="007B5347">
            <w:pPr>
              <w:pStyle w:val="ListParagraph"/>
              <w:numPr>
                <w:ilvl w:val="0"/>
                <w:numId w:val="8"/>
              </w:numPr>
              <w:spacing w:before="0" w:after="0" w:line="240" w:lineRule="auto"/>
              <w:ind w:left="380" w:hanging="357"/>
              <w:contextualSpacing w:val="0"/>
              <w:textAlignment w:val="baseline"/>
              <w:rPr>
                <w:sz w:val="16"/>
                <w:szCs w:val="16"/>
                <w:lang w:eastAsia="en-AU"/>
              </w:rPr>
            </w:pPr>
            <w:r w:rsidRPr="008C6087">
              <w:rPr>
                <w:sz w:val="16"/>
                <w:szCs w:val="16"/>
                <w:lang w:eastAsia="en-AU"/>
              </w:rPr>
              <w:t>State and territory governments</w:t>
            </w:r>
            <w:r w:rsidRPr="1A4F77AC">
              <w:rPr>
                <w:sz w:val="16"/>
                <w:szCs w:val="16"/>
                <w:lang w:eastAsia="en-AU"/>
              </w:rPr>
              <w:t xml:space="preserve"> continue to advocate to the </w:t>
            </w:r>
            <w:r>
              <w:rPr>
                <w:sz w:val="16"/>
                <w:szCs w:val="16"/>
                <w:lang w:eastAsia="en-AU"/>
              </w:rPr>
              <w:t>Australian</w:t>
            </w:r>
            <w:r w:rsidRPr="1A4F77AC">
              <w:rPr>
                <w:sz w:val="16"/>
                <w:szCs w:val="16"/>
                <w:lang w:eastAsia="en-AU"/>
              </w:rPr>
              <w:t xml:space="preserve"> Government for opportunities to attract skilled and </w:t>
            </w:r>
            <w:r w:rsidRPr="00330DCC">
              <w:rPr>
                <w:sz w:val="16"/>
                <w:szCs w:val="16"/>
                <w:lang w:eastAsia="en-AU"/>
              </w:rPr>
              <w:t xml:space="preserve">unskilled migrants more easily to visitor economy jobs. </w:t>
            </w:r>
          </w:p>
          <w:p w14:paraId="67248972" w14:textId="77777777" w:rsidR="007B5347" w:rsidRPr="00714294" w:rsidRDefault="007B5347" w:rsidP="007B5347">
            <w:pPr>
              <w:pStyle w:val="ListParagraph"/>
              <w:numPr>
                <w:ilvl w:val="0"/>
                <w:numId w:val="8"/>
              </w:numPr>
              <w:spacing w:before="0" w:after="0" w:line="240" w:lineRule="auto"/>
              <w:ind w:left="380" w:hanging="357"/>
              <w:contextualSpacing w:val="0"/>
              <w:textAlignment w:val="baseline"/>
              <w:rPr>
                <w:sz w:val="16"/>
                <w:szCs w:val="16"/>
                <w:lang w:eastAsia="en-AU"/>
              </w:rPr>
            </w:pPr>
            <w:r w:rsidRPr="00714294">
              <w:rPr>
                <w:sz w:val="16"/>
                <w:szCs w:val="16"/>
                <w:lang w:eastAsia="en-AU"/>
              </w:rPr>
              <w:t xml:space="preserve">At the same time, </w:t>
            </w:r>
            <w:r>
              <w:rPr>
                <w:sz w:val="16"/>
                <w:szCs w:val="16"/>
                <w:lang w:eastAsia="en-AU"/>
              </w:rPr>
              <w:t>s</w:t>
            </w:r>
            <w:r w:rsidRPr="00714294">
              <w:rPr>
                <w:sz w:val="16"/>
                <w:szCs w:val="16"/>
                <w:lang w:eastAsia="en-AU"/>
              </w:rPr>
              <w:t xml:space="preserve">tates and </w:t>
            </w:r>
            <w:r>
              <w:rPr>
                <w:sz w:val="16"/>
                <w:szCs w:val="16"/>
                <w:lang w:eastAsia="en-AU"/>
              </w:rPr>
              <w:t>t</w:t>
            </w:r>
            <w:r w:rsidRPr="00714294">
              <w:rPr>
                <w:sz w:val="16"/>
                <w:szCs w:val="16"/>
                <w:lang w:eastAsia="en-AU"/>
              </w:rPr>
              <w:t xml:space="preserve">erritories are actively promoting their jurisdictions to potential migrants, both nationally and internationally, through campaigns such as the </w:t>
            </w:r>
            <w:r w:rsidRPr="00714294">
              <w:rPr>
                <w:b/>
                <w:sz w:val="16"/>
                <w:szCs w:val="16"/>
                <w:lang w:eastAsia="en-AU"/>
              </w:rPr>
              <w:t>NT’s Backpacker Academy</w:t>
            </w:r>
            <w:r w:rsidRPr="00714294">
              <w:rPr>
                <w:sz w:val="16"/>
                <w:szCs w:val="16"/>
                <w:lang w:eastAsia="en-AU"/>
              </w:rPr>
              <w:t xml:space="preserve">, growing the workforce ahead of the NT’s 2023 peak season. </w:t>
            </w:r>
          </w:p>
          <w:p w14:paraId="7FB9CB1A" w14:textId="77777777" w:rsidR="007B5347" w:rsidRDefault="007B5347" w:rsidP="008267F2">
            <w:pPr>
              <w:rPr>
                <w:color w:val="FFFFFF" w:themeColor="background1"/>
                <w:lang w:eastAsia="en-AU"/>
              </w:rPr>
            </w:pPr>
          </w:p>
        </w:tc>
        <w:tc>
          <w:tcPr>
            <w:tcW w:w="2890" w:type="dxa"/>
            <w:gridSpan w:val="2"/>
            <w:tcBorders>
              <w:top w:val="single" w:sz="6" w:space="0" w:color="auto"/>
              <w:left w:val="single" w:sz="6" w:space="0" w:color="auto"/>
              <w:bottom w:val="single" w:sz="6" w:space="0" w:color="auto"/>
              <w:right w:val="single" w:sz="6" w:space="0" w:color="auto"/>
            </w:tcBorders>
            <w:shd w:val="clear" w:color="auto" w:fill="auto"/>
          </w:tcPr>
          <w:p w14:paraId="15B1ABD8" w14:textId="77777777" w:rsidR="007B5347" w:rsidRPr="008A7C64" w:rsidRDefault="007B5347" w:rsidP="007B5347">
            <w:pPr>
              <w:pStyle w:val="ListParagraph"/>
              <w:numPr>
                <w:ilvl w:val="0"/>
                <w:numId w:val="10"/>
              </w:numPr>
              <w:spacing w:before="0" w:after="0" w:line="240" w:lineRule="auto"/>
              <w:ind w:left="374" w:hanging="357"/>
              <w:textAlignment w:val="baseline"/>
              <w:rPr>
                <w:sz w:val="16"/>
                <w:szCs w:val="16"/>
                <w:lang w:eastAsia="en-AU"/>
              </w:rPr>
            </w:pPr>
            <w:r w:rsidRPr="0543E0B0">
              <w:rPr>
                <w:sz w:val="16"/>
                <w:szCs w:val="16"/>
                <w:lang w:eastAsia="en-AU"/>
              </w:rPr>
              <w:t xml:space="preserve">The </w:t>
            </w:r>
            <w:r w:rsidRPr="0543E0B0">
              <w:rPr>
                <w:b/>
                <w:bCs/>
                <w:sz w:val="16"/>
                <w:szCs w:val="16"/>
                <w:lang w:eastAsia="en-AU"/>
              </w:rPr>
              <w:t>NSW</w:t>
            </w:r>
            <w:r w:rsidRPr="0543E0B0">
              <w:rPr>
                <w:sz w:val="16"/>
                <w:szCs w:val="16"/>
                <w:lang w:eastAsia="en-AU"/>
              </w:rPr>
              <w:t xml:space="preserve"> </w:t>
            </w:r>
            <w:hyperlink r:id="rId28">
              <w:r w:rsidRPr="0543E0B0">
                <w:rPr>
                  <w:rStyle w:val="Hyperlink"/>
                  <w:b/>
                  <w:bCs/>
                  <w:color w:val="0B1F1A" w:themeColor="accent1" w:themeShade="80"/>
                  <w:sz w:val="16"/>
                  <w:szCs w:val="16"/>
                  <w:lang w:eastAsia="en-AU"/>
                </w:rPr>
                <w:t>Visitor Economy Strategy 2030</w:t>
              </w:r>
            </w:hyperlink>
            <w:r w:rsidRPr="0543E0B0">
              <w:rPr>
                <w:b/>
                <w:bCs/>
                <w:sz w:val="16"/>
                <w:szCs w:val="16"/>
                <w:lang w:eastAsia="en-AU"/>
              </w:rPr>
              <w:t xml:space="preserve"> </w:t>
            </w:r>
            <w:r w:rsidRPr="0543E0B0">
              <w:rPr>
                <w:sz w:val="16"/>
                <w:szCs w:val="16"/>
                <w:lang w:eastAsia="en-AU"/>
              </w:rPr>
              <w:t xml:space="preserve">is delivering an expanded program of NSW First industry development workshops to help tourism businesses to develop, promote, and sell in the current and future B2B and B2C environment. It also calls for the establishment of “a whole-of-government approach to deliver training, mentoring and industry development programs tailored to the needs of the visitor economy workforce” (pg. 58). </w:t>
            </w:r>
          </w:p>
          <w:p w14:paraId="5C1A39A3" w14:textId="77777777" w:rsidR="007B5347" w:rsidRPr="008A7C64" w:rsidRDefault="007B5347" w:rsidP="007B5347">
            <w:pPr>
              <w:pStyle w:val="ListParagraph"/>
              <w:numPr>
                <w:ilvl w:val="0"/>
                <w:numId w:val="10"/>
              </w:numPr>
              <w:spacing w:before="0" w:after="0" w:line="240" w:lineRule="auto"/>
              <w:ind w:left="374" w:hanging="357"/>
              <w:contextualSpacing w:val="0"/>
              <w:textAlignment w:val="baseline"/>
              <w:rPr>
                <w:sz w:val="16"/>
                <w:szCs w:val="16"/>
                <w:lang w:eastAsia="en-AU"/>
              </w:rPr>
            </w:pPr>
            <w:r w:rsidRPr="0543E0B0">
              <w:rPr>
                <w:sz w:val="16"/>
                <w:szCs w:val="16"/>
                <w:lang w:eastAsia="en-AU"/>
              </w:rPr>
              <w:t xml:space="preserve">The </w:t>
            </w:r>
            <w:r w:rsidRPr="0543E0B0">
              <w:rPr>
                <w:b/>
                <w:bCs/>
                <w:sz w:val="16"/>
                <w:szCs w:val="16"/>
                <w:lang w:eastAsia="en-AU"/>
              </w:rPr>
              <w:t xml:space="preserve">NT’s </w:t>
            </w:r>
            <w:hyperlink r:id="rId29">
              <w:r w:rsidRPr="0543E0B0">
                <w:rPr>
                  <w:rStyle w:val="Hyperlink"/>
                  <w:b/>
                  <w:bCs/>
                  <w:color w:val="0B1F1A" w:themeColor="accent1" w:themeShade="80"/>
                  <w:sz w:val="16"/>
                  <w:szCs w:val="16"/>
                  <w:lang w:eastAsia="en-AU"/>
                </w:rPr>
                <w:t>Tourism Industry Strategy 2030</w:t>
              </w:r>
            </w:hyperlink>
            <w:r w:rsidRPr="0543E0B0">
              <w:rPr>
                <w:b/>
                <w:bCs/>
                <w:sz w:val="16"/>
                <w:szCs w:val="16"/>
                <w:lang w:eastAsia="en-AU"/>
              </w:rPr>
              <w:t xml:space="preserve"> </w:t>
            </w:r>
            <w:r w:rsidRPr="0543E0B0">
              <w:rPr>
                <w:sz w:val="16"/>
                <w:szCs w:val="16"/>
                <w:lang w:eastAsia="en-AU"/>
              </w:rPr>
              <w:t xml:space="preserve">calls for tourism businesses to share training or job share schemes, whereby businesses share staff resources to minimise seasonal effects, or collaborate to deliver training and apprenticeships. The NT’s Strategy also recommends that existing schemes be leveraged to ensure that they are suitable for the needs of tourism. </w:t>
            </w:r>
          </w:p>
          <w:p w14:paraId="7521F695" w14:textId="77777777" w:rsidR="007B5347" w:rsidRPr="008A7C64" w:rsidRDefault="007B5347" w:rsidP="007B5347">
            <w:pPr>
              <w:pStyle w:val="ListParagraph"/>
              <w:numPr>
                <w:ilvl w:val="0"/>
                <w:numId w:val="10"/>
              </w:numPr>
              <w:spacing w:before="0" w:after="0" w:line="240" w:lineRule="auto"/>
              <w:ind w:left="374" w:hanging="357"/>
              <w:contextualSpacing w:val="0"/>
              <w:textAlignment w:val="baseline"/>
              <w:rPr>
                <w:sz w:val="16"/>
                <w:szCs w:val="16"/>
                <w:lang w:eastAsia="en-AU"/>
              </w:rPr>
            </w:pPr>
            <w:r w:rsidRPr="0543E0B0">
              <w:rPr>
                <w:sz w:val="16"/>
                <w:szCs w:val="16"/>
              </w:rPr>
              <w:t>The</w:t>
            </w:r>
            <w:r w:rsidRPr="0543E0B0">
              <w:rPr>
                <w:b/>
                <w:bCs/>
                <w:sz w:val="16"/>
                <w:szCs w:val="16"/>
              </w:rPr>
              <w:t xml:space="preserve"> ACT</w:t>
            </w:r>
            <w:r w:rsidRPr="0543E0B0">
              <w:rPr>
                <w:sz w:val="16"/>
                <w:szCs w:val="16"/>
              </w:rPr>
              <w:t xml:space="preserve"> </w:t>
            </w:r>
            <w:hyperlink r:id="rId30">
              <w:r w:rsidRPr="0543E0B0">
                <w:rPr>
                  <w:rStyle w:val="Hyperlink"/>
                  <w:b/>
                  <w:bCs/>
                  <w:color w:val="0B1F1A" w:themeColor="accent1" w:themeShade="80"/>
                  <w:sz w:val="16"/>
                  <w:szCs w:val="16"/>
                  <w:lang w:eastAsia="en-AU"/>
                </w:rPr>
                <w:t>Tourism Strategy 2023-2030</w:t>
              </w:r>
            </w:hyperlink>
            <w:r w:rsidRPr="0543E0B0">
              <w:rPr>
                <w:b/>
                <w:bCs/>
                <w:sz w:val="16"/>
                <w:szCs w:val="16"/>
                <w:lang w:eastAsia="en-AU"/>
              </w:rPr>
              <w:t xml:space="preserve"> </w:t>
            </w:r>
            <w:r w:rsidRPr="0543E0B0">
              <w:rPr>
                <w:sz w:val="16"/>
                <w:szCs w:val="16"/>
                <w:lang w:eastAsia="en-AU"/>
              </w:rPr>
              <w:t>will identify opportunities for university students to find jobs in tourism and ensure tourism career pathways are created. The ACT Government will also work with the vocational sector to promote opportunities in tourism and hospitality. To support specific sector development, the ACT Government is also delivering a series of arts and cultural capability workshops to the arts sector to uplift capability in storytelling (including marketing and promotion), experience development (including partnerships and collaboration across industry) and experience optimisation (customer experience and service quality).</w:t>
            </w:r>
          </w:p>
          <w:p w14:paraId="32FDA033" w14:textId="77777777" w:rsidR="007B5347" w:rsidRPr="008A7C64" w:rsidRDefault="007B5347" w:rsidP="007B5347">
            <w:pPr>
              <w:pStyle w:val="ListParagraph"/>
              <w:numPr>
                <w:ilvl w:val="0"/>
                <w:numId w:val="10"/>
              </w:numPr>
              <w:spacing w:before="0" w:after="0" w:line="240" w:lineRule="auto"/>
              <w:ind w:left="374" w:hanging="357"/>
              <w:contextualSpacing w:val="0"/>
              <w:textAlignment w:val="baseline"/>
              <w:rPr>
                <w:sz w:val="16"/>
                <w:szCs w:val="16"/>
                <w:lang w:eastAsia="en-AU"/>
              </w:rPr>
            </w:pPr>
            <w:r w:rsidRPr="0543E0B0">
              <w:rPr>
                <w:sz w:val="16"/>
                <w:szCs w:val="16"/>
                <w:lang w:eastAsia="en-AU"/>
              </w:rPr>
              <w:t xml:space="preserve">The </w:t>
            </w:r>
            <w:r w:rsidRPr="0543E0B0">
              <w:rPr>
                <w:b/>
                <w:bCs/>
                <w:sz w:val="16"/>
                <w:szCs w:val="16"/>
                <w:lang w:eastAsia="en-AU"/>
              </w:rPr>
              <w:t>Tasmanian Government</w:t>
            </w:r>
            <w:r w:rsidRPr="0543E0B0">
              <w:rPr>
                <w:sz w:val="16"/>
                <w:szCs w:val="16"/>
                <w:lang w:eastAsia="en-AU"/>
              </w:rPr>
              <w:t xml:space="preserve"> supported the creation of </w:t>
            </w:r>
            <w:hyperlink r:id="rId31">
              <w:r w:rsidRPr="0543E0B0">
                <w:rPr>
                  <w:rStyle w:val="Hyperlink"/>
                  <w:b/>
                  <w:bCs/>
                  <w:color w:val="0B1F1A" w:themeColor="accent1" w:themeShade="80"/>
                  <w:sz w:val="16"/>
                  <w:szCs w:val="16"/>
                  <w:lang w:eastAsia="en-AU"/>
                </w:rPr>
                <w:t>Visitor Experience Training (VXT)</w:t>
              </w:r>
            </w:hyperlink>
            <w:r w:rsidRPr="0543E0B0">
              <w:rPr>
                <w:sz w:val="16"/>
                <w:szCs w:val="16"/>
                <w:lang w:eastAsia="en-AU"/>
              </w:rPr>
              <w:t xml:space="preserve"> by providing grant funding to establish the training organisation to support the Tasmanian hospitality and tourism industries. The Tasmanian Government continues to provide grants to VXT to operate and provide subsidised short courses to the industries.</w:t>
            </w:r>
          </w:p>
          <w:p w14:paraId="46F797EC" w14:textId="77777777" w:rsidR="007B5347" w:rsidRPr="0026629D" w:rsidRDefault="007B5347" w:rsidP="007B5347">
            <w:pPr>
              <w:pStyle w:val="ListParagraph"/>
              <w:numPr>
                <w:ilvl w:val="0"/>
                <w:numId w:val="10"/>
              </w:numPr>
              <w:spacing w:before="0" w:after="120" w:line="252" w:lineRule="auto"/>
              <w:ind w:left="342" w:hanging="283"/>
              <w:rPr>
                <w:lang w:eastAsia="en-AU"/>
              </w:rPr>
            </w:pPr>
            <w:r w:rsidRPr="0543E0B0">
              <w:rPr>
                <w:b/>
                <w:bCs/>
                <w:sz w:val="16"/>
                <w:szCs w:val="16"/>
                <w:lang w:eastAsia="en-AU"/>
              </w:rPr>
              <w:t>Tourism WA</w:t>
            </w:r>
            <w:r w:rsidRPr="0543E0B0">
              <w:rPr>
                <w:sz w:val="16"/>
                <w:szCs w:val="16"/>
                <w:lang w:eastAsia="en-AU"/>
              </w:rPr>
              <w:t xml:space="preserve"> has developed the </w:t>
            </w:r>
            <w:hyperlink r:id="rId32" w:anchor="/">
              <w:r w:rsidRPr="0543E0B0">
                <w:rPr>
                  <w:b/>
                  <w:bCs/>
                  <w:color w:val="0B1F1A" w:themeColor="accent1" w:themeShade="80"/>
                  <w:sz w:val="16"/>
                  <w:szCs w:val="16"/>
                  <w:u w:val="single"/>
                  <w:lang w:eastAsia="en-AU"/>
                </w:rPr>
                <w:t xml:space="preserve">Hospitality Job Connect </w:t>
              </w:r>
              <w:r>
                <w:rPr>
                  <w:b/>
                  <w:bCs/>
                  <w:color w:val="0B1F1A" w:themeColor="accent1" w:themeShade="80"/>
                  <w:sz w:val="16"/>
                  <w:szCs w:val="16"/>
                  <w:u w:val="single"/>
                  <w:lang w:eastAsia="en-AU"/>
                </w:rPr>
                <w:t>P</w:t>
              </w:r>
              <w:r w:rsidRPr="0543E0B0">
                <w:rPr>
                  <w:b/>
                  <w:bCs/>
                  <w:color w:val="0B1F1A" w:themeColor="accent1" w:themeShade="80"/>
                  <w:sz w:val="16"/>
                  <w:szCs w:val="16"/>
                  <w:u w:val="single"/>
                  <w:lang w:eastAsia="en-AU"/>
                </w:rPr>
                <w:t>rogram</w:t>
              </w:r>
            </w:hyperlink>
            <w:r w:rsidRPr="0543E0B0">
              <w:rPr>
                <w:sz w:val="16"/>
                <w:szCs w:val="16"/>
                <w:lang w:eastAsia="en-AU"/>
              </w:rPr>
              <w:t xml:space="preserve">, a free </w:t>
            </w:r>
            <w:r>
              <w:rPr>
                <w:sz w:val="16"/>
                <w:szCs w:val="16"/>
                <w:lang w:eastAsia="en-AU"/>
              </w:rPr>
              <w:t>5</w:t>
            </w:r>
            <w:r w:rsidRPr="0543E0B0">
              <w:rPr>
                <w:sz w:val="16"/>
                <w:szCs w:val="16"/>
                <w:lang w:eastAsia="en-AU"/>
              </w:rPr>
              <w:t xml:space="preserve"> day nationally accredited course providing participants with the basic skills and competencies to confidently secure a job in the hospitality industry. It is run regionally with the local TAFE institute. </w:t>
            </w:r>
          </w:p>
        </w:tc>
        <w:tc>
          <w:tcPr>
            <w:tcW w:w="3119" w:type="dxa"/>
            <w:tcBorders>
              <w:top w:val="single" w:sz="6" w:space="0" w:color="auto"/>
              <w:left w:val="single" w:sz="6" w:space="0" w:color="auto"/>
              <w:bottom w:val="single" w:sz="6" w:space="0" w:color="auto"/>
              <w:right w:val="single" w:sz="6" w:space="0" w:color="auto"/>
            </w:tcBorders>
            <w:shd w:val="clear" w:color="auto" w:fill="auto"/>
          </w:tcPr>
          <w:p w14:paraId="238C18F2" w14:textId="77777777" w:rsidR="007B5347" w:rsidRPr="008A7C64" w:rsidRDefault="007B5347" w:rsidP="007B5347">
            <w:pPr>
              <w:pStyle w:val="ListParagraph"/>
              <w:numPr>
                <w:ilvl w:val="0"/>
                <w:numId w:val="9"/>
              </w:numPr>
              <w:spacing w:before="0" w:after="0" w:line="240" w:lineRule="auto"/>
              <w:ind w:left="403" w:hanging="402"/>
              <w:contextualSpacing w:val="0"/>
              <w:textAlignment w:val="baseline"/>
              <w:rPr>
                <w:sz w:val="16"/>
                <w:szCs w:val="16"/>
                <w:lang w:eastAsia="en-AU"/>
              </w:rPr>
            </w:pPr>
            <w:r w:rsidRPr="008A7C64">
              <w:rPr>
                <w:b/>
                <w:bCs/>
                <w:sz w:val="16"/>
                <w:szCs w:val="16"/>
                <w:lang w:eastAsia="en-AU"/>
              </w:rPr>
              <w:t xml:space="preserve">Queensland’s </w:t>
            </w:r>
            <w:hyperlink r:id="rId33">
              <w:r w:rsidRPr="006E22A9">
                <w:rPr>
                  <w:rStyle w:val="Hyperlink"/>
                  <w:b/>
                  <w:color w:val="0B1F1A" w:themeColor="accent1" w:themeShade="80"/>
                  <w:sz w:val="16"/>
                  <w:szCs w:val="16"/>
                  <w:lang w:eastAsia="en-AU"/>
                </w:rPr>
                <w:t>Towards Tourism 2032 Strategy</w:t>
              </w:r>
            </w:hyperlink>
            <w:r w:rsidRPr="006E22A9">
              <w:rPr>
                <w:b/>
                <w:color w:val="0B1F1A" w:themeColor="accent1" w:themeShade="80"/>
                <w:sz w:val="16"/>
                <w:szCs w:val="16"/>
                <w:lang w:eastAsia="en-AU"/>
              </w:rPr>
              <w:t xml:space="preserve"> </w:t>
            </w:r>
            <w:r w:rsidRPr="008A7C64">
              <w:rPr>
                <w:sz w:val="16"/>
                <w:szCs w:val="16"/>
                <w:lang w:eastAsia="en-AU"/>
              </w:rPr>
              <w:t>will deliver the Gateway to Industry Schools Program providing opportunities for school students to engage in tourism and hospitality industry-related activities supporting their further education and career choices. Queensland will also extend the Young Tourism Leaders program to the end of 2025 to encourage more young people to have a career in tourism and develop more young people to be advocates for working in tourism, events</w:t>
            </w:r>
            <w:r>
              <w:rPr>
                <w:sz w:val="16"/>
                <w:szCs w:val="16"/>
                <w:lang w:eastAsia="en-AU"/>
              </w:rPr>
              <w:t>,</w:t>
            </w:r>
            <w:r w:rsidRPr="008A7C64">
              <w:rPr>
                <w:sz w:val="16"/>
                <w:szCs w:val="16"/>
                <w:lang w:eastAsia="en-AU"/>
              </w:rPr>
              <w:t xml:space="preserve"> and festivals. </w:t>
            </w:r>
          </w:p>
          <w:p w14:paraId="50A5B815" w14:textId="77777777" w:rsidR="007B5347" w:rsidRPr="008A7C64" w:rsidRDefault="007B5347" w:rsidP="007B5347">
            <w:pPr>
              <w:pStyle w:val="ListParagraph"/>
              <w:numPr>
                <w:ilvl w:val="0"/>
                <w:numId w:val="9"/>
              </w:numPr>
              <w:spacing w:before="0" w:after="0" w:line="240" w:lineRule="auto"/>
              <w:ind w:left="403" w:hanging="402"/>
              <w:contextualSpacing w:val="0"/>
              <w:textAlignment w:val="baseline"/>
              <w:rPr>
                <w:sz w:val="16"/>
                <w:szCs w:val="16"/>
                <w:lang w:eastAsia="en-AU"/>
              </w:rPr>
            </w:pPr>
            <w:r w:rsidRPr="00A76F43">
              <w:rPr>
                <w:sz w:val="16"/>
                <w:szCs w:val="16"/>
                <w:lang w:eastAsia="en-AU"/>
              </w:rPr>
              <w:t>The</w:t>
            </w:r>
            <w:r>
              <w:rPr>
                <w:sz w:val="16"/>
                <w:szCs w:val="16"/>
                <w:lang w:eastAsia="en-AU"/>
              </w:rPr>
              <w:t xml:space="preserve"> </w:t>
            </w:r>
            <w:r w:rsidRPr="00005D8B">
              <w:rPr>
                <w:b/>
                <w:bCs/>
                <w:sz w:val="16"/>
                <w:szCs w:val="16"/>
                <w:lang w:eastAsia="en-AU"/>
              </w:rPr>
              <w:t xml:space="preserve">NT’s </w:t>
            </w:r>
            <w:hyperlink r:id="rId34">
              <w:r w:rsidRPr="006E22A9">
                <w:rPr>
                  <w:rStyle w:val="Hyperlink"/>
                  <w:b/>
                  <w:color w:val="0B1F1A" w:themeColor="accent1" w:themeShade="80"/>
                  <w:sz w:val="16"/>
                  <w:szCs w:val="16"/>
                  <w:lang w:eastAsia="en-AU"/>
                </w:rPr>
                <w:t>Tourism Industry Strategy 2030</w:t>
              </w:r>
            </w:hyperlink>
            <w:r w:rsidRPr="008A7C64">
              <w:rPr>
                <w:b/>
                <w:bCs/>
                <w:sz w:val="16"/>
                <w:szCs w:val="16"/>
                <w:lang w:eastAsia="en-AU"/>
              </w:rPr>
              <w:t xml:space="preserve"> </w:t>
            </w:r>
            <w:r w:rsidRPr="008A7C64">
              <w:rPr>
                <w:sz w:val="16"/>
                <w:szCs w:val="16"/>
                <w:lang w:eastAsia="en-AU"/>
              </w:rPr>
              <w:t xml:space="preserve">calls for greater awareness of tourism-related careers in both schools and the community. </w:t>
            </w:r>
          </w:p>
          <w:p w14:paraId="0093D201" w14:textId="77777777" w:rsidR="007B5347" w:rsidRPr="008A7C64" w:rsidRDefault="007B5347" w:rsidP="007B5347">
            <w:pPr>
              <w:pStyle w:val="ListParagraph"/>
              <w:numPr>
                <w:ilvl w:val="0"/>
                <w:numId w:val="9"/>
              </w:numPr>
              <w:spacing w:before="0" w:after="0" w:line="240" w:lineRule="auto"/>
              <w:ind w:left="403" w:hanging="402"/>
              <w:contextualSpacing w:val="0"/>
              <w:textAlignment w:val="baseline"/>
              <w:rPr>
                <w:sz w:val="16"/>
                <w:szCs w:val="16"/>
                <w:lang w:eastAsia="en-AU"/>
              </w:rPr>
            </w:pPr>
            <w:r w:rsidRPr="00005D8B">
              <w:rPr>
                <w:b/>
                <w:bCs/>
                <w:sz w:val="16"/>
                <w:szCs w:val="16"/>
              </w:rPr>
              <w:t xml:space="preserve">Western Australia’s </w:t>
            </w:r>
            <w:hyperlink r:id="rId35" w:anchor="/">
              <w:r w:rsidRPr="00005D8B">
                <w:rPr>
                  <w:rStyle w:val="Hyperlink"/>
                  <w:b/>
                  <w:color w:val="0B1F1A" w:themeColor="accent1" w:themeShade="80"/>
                  <w:sz w:val="16"/>
                  <w:szCs w:val="16"/>
                  <w:lang w:eastAsia="en-AU"/>
                </w:rPr>
                <w:t>Chef Ambassador Program</w:t>
              </w:r>
            </w:hyperlink>
            <w:r w:rsidRPr="008A7C64">
              <w:rPr>
                <w:b/>
                <w:bCs/>
                <w:sz w:val="16"/>
                <w:szCs w:val="16"/>
                <w:lang w:eastAsia="en-AU"/>
              </w:rPr>
              <w:t xml:space="preserve"> </w:t>
            </w:r>
            <w:r w:rsidRPr="008A7C64">
              <w:rPr>
                <w:sz w:val="16"/>
                <w:szCs w:val="16"/>
                <w:lang w:eastAsia="en-AU"/>
              </w:rPr>
              <w:t>delivers a</w:t>
            </w:r>
            <w:r w:rsidRPr="008A7C64">
              <w:t xml:space="preserve"> </w:t>
            </w:r>
            <w:r w:rsidRPr="008A7C64">
              <w:rPr>
                <w:sz w:val="16"/>
                <w:szCs w:val="16"/>
                <w:lang w:eastAsia="en-AU"/>
              </w:rPr>
              <w:t>range of educational sessions and cooking demonstrations by young chefs, in secondary schools throughout Perth and Southwest regions. The program is designed to inspire the next generation of Western Australia's culinary stars while raising awareness of the opportunities and realities of working as a chef and in the hospitality industry. The program also includes professional development opportunities for teachers.</w:t>
            </w:r>
          </w:p>
          <w:p w14:paraId="41EC11B5" w14:textId="77777777" w:rsidR="007B5347" w:rsidRPr="008A7C64" w:rsidRDefault="007B5347" w:rsidP="007B5347">
            <w:pPr>
              <w:pStyle w:val="ListParagraph"/>
              <w:numPr>
                <w:ilvl w:val="0"/>
                <w:numId w:val="9"/>
              </w:numPr>
              <w:spacing w:before="0" w:after="0" w:line="240" w:lineRule="auto"/>
              <w:ind w:left="403" w:hanging="402"/>
              <w:textAlignment w:val="baseline"/>
              <w:rPr>
                <w:sz w:val="16"/>
                <w:szCs w:val="16"/>
                <w:lang w:eastAsia="en-AU"/>
              </w:rPr>
            </w:pPr>
            <w:r w:rsidRPr="008A7C64">
              <w:rPr>
                <w:sz w:val="16"/>
                <w:szCs w:val="16"/>
                <w:lang w:eastAsia="en-AU"/>
              </w:rPr>
              <w:t xml:space="preserve">The </w:t>
            </w:r>
            <w:r w:rsidRPr="005D028D">
              <w:rPr>
                <w:b/>
                <w:sz w:val="16"/>
                <w:szCs w:val="16"/>
                <w:lang w:eastAsia="en-AU"/>
              </w:rPr>
              <w:t>Western Australian</w:t>
            </w:r>
            <w:r w:rsidRPr="008A7C64">
              <w:rPr>
                <w:sz w:val="16"/>
                <w:szCs w:val="16"/>
                <w:lang w:eastAsia="en-AU"/>
              </w:rPr>
              <w:t xml:space="preserve"> </w:t>
            </w:r>
            <w:hyperlink r:id="rId36" w:anchor="/">
              <w:r w:rsidRPr="005D028D">
                <w:rPr>
                  <w:rStyle w:val="Hyperlink"/>
                  <w:b/>
                  <w:color w:val="0B1F1A" w:themeColor="accent1" w:themeShade="80"/>
                  <w:sz w:val="16"/>
                  <w:szCs w:val="16"/>
                  <w:lang w:eastAsia="en-AU"/>
                </w:rPr>
                <w:t xml:space="preserve">Tourism and Hospitality Careers </w:t>
              </w:r>
              <w:r>
                <w:rPr>
                  <w:rStyle w:val="Hyperlink"/>
                  <w:b/>
                  <w:color w:val="0B1F1A" w:themeColor="accent1" w:themeShade="80"/>
                  <w:sz w:val="16"/>
                  <w:szCs w:val="16"/>
                  <w:lang w:eastAsia="en-AU"/>
                </w:rPr>
                <w:t>P</w:t>
              </w:r>
              <w:r w:rsidRPr="005D028D">
                <w:rPr>
                  <w:rStyle w:val="Hyperlink"/>
                  <w:b/>
                  <w:color w:val="0B1F1A" w:themeColor="accent1" w:themeShade="80"/>
                  <w:sz w:val="16"/>
                  <w:szCs w:val="16"/>
                  <w:lang w:eastAsia="en-AU"/>
                </w:rPr>
                <w:t>rogram</w:t>
              </w:r>
            </w:hyperlink>
            <w:r w:rsidRPr="008A7C64">
              <w:rPr>
                <w:b/>
                <w:bCs/>
                <w:sz w:val="16"/>
                <w:szCs w:val="16"/>
                <w:lang w:eastAsia="en-AU"/>
              </w:rPr>
              <w:t xml:space="preserve"> </w:t>
            </w:r>
            <w:r w:rsidRPr="008A7C64">
              <w:rPr>
                <w:sz w:val="16"/>
                <w:szCs w:val="16"/>
                <w:lang w:eastAsia="en-AU"/>
              </w:rPr>
              <w:t xml:space="preserve">will develop, inform, and inspire high school students about career opportunities, education and training pathways into the industry. The program will incorporate in-school presentations, industry career guidance and school resources. </w:t>
            </w:r>
          </w:p>
          <w:p w14:paraId="18702014" w14:textId="77777777" w:rsidR="007B5347" w:rsidRPr="00320DBE" w:rsidRDefault="007B5347" w:rsidP="007B5347">
            <w:pPr>
              <w:pStyle w:val="ListParagraph"/>
              <w:numPr>
                <w:ilvl w:val="0"/>
                <w:numId w:val="9"/>
              </w:numPr>
              <w:spacing w:before="0" w:after="120" w:line="252" w:lineRule="auto"/>
              <w:ind w:left="425"/>
              <w:rPr>
                <w:lang w:eastAsia="en-AU"/>
              </w:rPr>
            </w:pPr>
            <w:r w:rsidRPr="0026629D">
              <w:rPr>
                <w:sz w:val="16"/>
                <w:szCs w:val="16"/>
                <w:lang w:eastAsia="en-AU"/>
              </w:rPr>
              <w:t xml:space="preserve">The </w:t>
            </w:r>
            <w:r w:rsidRPr="0026629D">
              <w:rPr>
                <w:b/>
                <w:bCs/>
                <w:sz w:val="16"/>
                <w:szCs w:val="16"/>
                <w:lang w:eastAsia="en-AU"/>
              </w:rPr>
              <w:t xml:space="preserve">Tasmanian Government </w:t>
            </w:r>
            <w:hyperlink r:id="rId37" w:history="1">
              <w:r w:rsidRPr="006E22A9">
                <w:rPr>
                  <w:rStyle w:val="Hyperlink"/>
                  <w:b/>
                  <w:color w:val="0B1F1A" w:themeColor="accent1" w:themeShade="80"/>
                  <w:sz w:val="16"/>
                  <w:szCs w:val="16"/>
                  <w:lang w:eastAsia="en-AU"/>
                </w:rPr>
                <w:t>Employer of Choice Program</w:t>
              </w:r>
            </w:hyperlink>
            <w:r w:rsidRPr="0026629D">
              <w:rPr>
                <w:sz w:val="16"/>
                <w:szCs w:val="16"/>
                <w:lang w:eastAsia="en-AU"/>
              </w:rPr>
              <w:t xml:space="preserve"> is a recognition and education program that connects, recognises, and supports Tasmanian employers to create and share work cultures which attract and retain their people by actively promoting a positive work life balance. Recognition Awards are given annually, with ongoing Employer of Choice events throughout the </w:t>
            </w:r>
            <w:r>
              <w:rPr>
                <w:sz w:val="16"/>
                <w:szCs w:val="16"/>
                <w:lang w:eastAsia="en-AU"/>
              </w:rPr>
              <w:t>s</w:t>
            </w:r>
            <w:r w:rsidRPr="0026629D">
              <w:rPr>
                <w:sz w:val="16"/>
                <w:szCs w:val="16"/>
                <w:lang w:eastAsia="en-AU"/>
              </w:rPr>
              <w:t>tate where winners share their knowledge. Winners go through re-accreditation to demonstrate their ongoing commitment to the standards.</w:t>
            </w:r>
          </w:p>
          <w:p w14:paraId="208B5D9C" w14:textId="77777777" w:rsidR="007B5347" w:rsidRPr="0026629D" w:rsidRDefault="007B5347" w:rsidP="007B5347">
            <w:pPr>
              <w:pStyle w:val="ListParagraph"/>
              <w:numPr>
                <w:ilvl w:val="0"/>
                <w:numId w:val="9"/>
              </w:numPr>
              <w:spacing w:before="0" w:after="120" w:line="252" w:lineRule="auto"/>
              <w:ind w:left="425"/>
              <w:rPr>
                <w:lang w:eastAsia="en-AU"/>
              </w:rPr>
            </w:pPr>
            <w:r w:rsidRPr="00714294">
              <w:rPr>
                <w:sz w:val="16"/>
                <w:szCs w:val="16"/>
                <w:lang w:eastAsia="en-AU"/>
              </w:rPr>
              <w:t xml:space="preserve">The </w:t>
            </w:r>
            <w:r w:rsidRPr="00714294">
              <w:rPr>
                <w:b/>
                <w:sz w:val="16"/>
                <w:szCs w:val="16"/>
                <w:lang w:eastAsia="en-AU"/>
              </w:rPr>
              <w:t>Victorian Government’s</w:t>
            </w:r>
            <w:r w:rsidRPr="00714294">
              <w:rPr>
                <w:sz w:val="16"/>
                <w:szCs w:val="16"/>
                <w:lang w:eastAsia="en-AU"/>
              </w:rPr>
              <w:t xml:space="preserve"> </w:t>
            </w:r>
            <w:r w:rsidRPr="00714294">
              <w:rPr>
                <w:b/>
                <w:sz w:val="16"/>
                <w:szCs w:val="16"/>
                <w:lang w:eastAsia="en-AU"/>
              </w:rPr>
              <w:t>Young People in Tourism Pilot Program</w:t>
            </w:r>
            <w:r w:rsidRPr="00714294">
              <w:rPr>
                <w:sz w:val="16"/>
                <w:szCs w:val="16"/>
                <w:lang w:eastAsia="en-AU"/>
              </w:rPr>
              <w:t xml:space="preserve"> built upon the current professional development landscape for students and emerging professionals, delivered insight into how young people see the future of the visitor economy and provides an evidence base for ongoing development of the workforce pipeline.</w:t>
            </w:r>
          </w:p>
        </w:tc>
      </w:tr>
    </w:tbl>
    <w:p w14:paraId="2E9AC0B5" w14:textId="77777777" w:rsidR="007B5347" w:rsidRDefault="007B5347" w:rsidP="007B5347">
      <w:pPr>
        <w:pStyle w:val="BulletList"/>
        <w:numPr>
          <w:ilvl w:val="0"/>
          <w:numId w:val="0"/>
        </w:numPr>
      </w:pPr>
    </w:p>
    <w:tbl>
      <w:tblPr>
        <w:tblW w:w="15594"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18"/>
        <w:gridCol w:w="45"/>
        <w:gridCol w:w="3207"/>
        <w:gridCol w:w="3215"/>
        <w:gridCol w:w="2864"/>
        <w:gridCol w:w="26"/>
        <w:gridCol w:w="3119"/>
      </w:tblGrid>
      <w:tr w:rsidR="007B5347" w:rsidRPr="0013422C" w14:paraId="5497C930" w14:textId="77777777" w:rsidTr="007B5347">
        <w:trPr>
          <w:trHeight w:val="426"/>
          <w:jc w:val="center"/>
        </w:trPr>
        <w:tc>
          <w:tcPr>
            <w:tcW w:w="3118" w:type="dxa"/>
            <w:tcBorders>
              <w:top w:val="single" w:sz="6" w:space="0" w:color="auto"/>
              <w:left w:val="single" w:sz="6" w:space="0" w:color="auto"/>
              <w:bottom w:val="single" w:sz="6" w:space="0" w:color="auto"/>
              <w:right w:val="single" w:sz="6" w:space="0" w:color="auto"/>
            </w:tcBorders>
            <w:shd w:val="clear" w:color="auto" w:fill="173F35" w:themeFill="accent1"/>
          </w:tcPr>
          <w:p w14:paraId="5E038581" w14:textId="77777777" w:rsidR="007B5347" w:rsidRPr="0013422C" w:rsidRDefault="007B5347" w:rsidP="003A16D3">
            <w:pPr>
              <w:spacing w:before="0"/>
              <w:rPr>
                <w:color w:val="FFFFFF" w:themeColor="background1"/>
                <w:lang w:eastAsia="en-AU"/>
              </w:rPr>
            </w:pPr>
            <w:r w:rsidRPr="0013422C">
              <w:rPr>
                <w:rFonts w:eastAsia="Times New Roman" w:cs="Times New Roman"/>
                <w:b/>
                <w:bCs/>
                <w:color w:val="FFFFFF"/>
                <w:lang w:eastAsia="en-AU"/>
              </w:rPr>
              <w:t>Addressing Workforce</w:t>
            </w:r>
            <w:r>
              <w:rPr>
                <w:rFonts w:eastAsia="Times New Roman" w:cs="Times New Roman"/>
                <w:b/>
                <w:bCs/>
                <w:color w:val="FFFFFF"/>
                <w:lang w:eastAsia="en-AU"/>
              </w:rPr>
              <w:t xml:space="preserve"> </w:t>
            </w:r>
            <w:r w:rsidRPr="0013422C">
              <w:rPr>
                <w:rFonts w:eastAsia="Times New Roman" w:cs="Times New Roman"/>
                <w:b/>
                <w:bCs/>
                <w:color w:val="FFFFFF"/>
                <w:lang w:eastAsia="en-AU"/>
              </w:rPr>
              <w:t>Supply: Structural Challenges</w:t>
            </w:r>
          </w:p>
        </w:tc>
        <w:tc>
          <w:tcPr>
            <w:tcW w:w="3252" w:type="dxa"/>
            <w:gridSpan w:val="2"/>
            <w:tcBorders>
              <w:top w:val="single" w:sz="6" w:space="0" w:color="auto"/>
              <w:left w:val="single" w:sz="6" w:space="0" w:color="auto"/>
              <w:bottom w:val="single" w:sz="6" w:space="0" w:color="auto"/>
              <w:right w:val="single" w:sz="6" w:space="0" w:color="auto"/>
            </w:tcBorders>
            <w:shd w:val="clear" w:color="auto" w:fill="173F35" w:themeFill="accent1"/>
          </w:tcPr>
          <w:p w14:paraId="482596EE" w14:textId="77777777" w:rsidR="007B5347" w:rsidRPr="0013422C" w:rsidRDefault="007B5347" w:rsidP="003A16D3">
            <w:pPr>
              <w:spacing w:before="0"/>
              <w:rPr>
                <w:color w:val="FFFFFF" w:themeColor="background1"/>
                <w:lang w:eastAsia="en-AU"/>
              </w:rPr>
            </w:pPr>
            <w:r w:rsidRPr="0013422C">
              <w:rPr>
                <w:rFonts w:eastAsia="Times New Roman" w:cs="Times New Roman"/>
                <w:b/>
                <w:bCs/>
                <w:color w:val="FFFFFF"/>
                <w:lang w:eastAsia="en-AU"/>
              </w:rPr>
              <w:t>Addressing Workforce Supply: Domestic Workforce</w:t>
            </w:r>
          </w:p>
        </w:tc>
        <w:tc>
          <w:tcPr>
            <w:tcW w:w="3215" w:type="dxa"/>
            <w:tcBorders>
              <w:top w:val="single" w:sz="6" w:space="0" w:color="auto"/>
              <w:left w:val="single" w:sz="6" w:space="0" w:color="auto"/>
              <w:bottom w:val="single" w:sz="6" w:space="0" w:color="auto"/>
              <w:right w:val="single" w:sz="6" w:space="0" w:color="auto"/>
            </w:tcBorders>
            <w:shd w:val="clear" w:color="auto" w:fill="173F35" w:themeFill="accent1"/>
          </w:tcPr>
          <w:p w14:paraId="651C05F8" w14:textId="77777777" w:rsidR="007B5347" w:rsidRPr="0013422C" w:rsidRDefault="007B5347" w:rsidP="003A16D3">
            <w:pPr>
              <w:spacing w:before="0"/>
              <w:rPr>
                <w:color w:val="FFFFFF" w:themeColor="background1"/>
                <w:lang w:eastAsia="en-AU"/>
              </w:rPr>
            </w:pPr>
            <w:r w:rsidRPr="0013422C">
              <w:rPr>
                <w:rFonts w:eastAsia="Times New Roman" w:cs="Times New Roman"/>
                <w:b/>
                <w:bCs/>
                <w:color w:val="FFFFFF"/>
                <w:lang w:eastAsia="en-AU"/>
              </w:rPr>
              <w:t>Addressing Workforce Supply: International Workforce</w:t>
            </w:r>
          </w:p>
        </w:tc>
        <w:tc>
          <w:tcPr>
            <w:tcW w:w="2890" w:type="dxa"/>
            <w:gridSpan w:val="2"/>
            <w:tcBorders>
              <w:top w:val="single" w:sz="6" w:space="0" w:color="auto"/>
              <w:left w:val="single" w:sz="6" w:space="0" w:color="auto"/>
              <w:bottom w:val="single" w:sz="6" w:space="0" w:color="auto"/>
              <w:right w:val="single" w:sz="6" w:space="0" w:color="auto"/>
            </w:tcBorders>
            <w:shd w:val="clear" w:color="auto" w:fill="173F35" w:themeFill="accent1"/>
          </w:tcPr>
          <w:p w14:paraId="7F1DEF4E" w14:textId="77777777" w:rsidR="007B5347" w:rsidRPr="0013422C" w:rsidRDefault="007B5347" w:rsidP="003A16D3">
            <w:pPr>
              <w:spacing w:before="0"/>
              <w:rPr>
                <w:color w:val="FFFFFF" w:themeColor="background1"/>
                <w:lang w:eastAsia="en-AU"/>
              </w:rPr>
            </w:pPr>
            <w:r w:rsidRPr="0013422C">
              <w:rPr>
                <w:rFonts w:eastAsia="Times New Roman" w:cs="Times New Roman"/>
                <w:b/>
                <w:bCs/>
                <w:color w:val="FFFFFF"/>
                <w:lang w:eastAsia="en-AU"/>
              </w:rPr>
              <w:t>Skills: Improving Workforce Capability</w:t>
            </w:r>
          </w:p>
        </w:tc>
        <w:tc>
          <w:tcPr>
            <w:tcW w:w="3119" w:type="dxa"/>
            <w:tcBorders>
              <w:top w:val="single" w:sz="6" w:space="0" w:color="auto"/>
              <w:left w:val="single" w:sz="6" w:space="0" w:color="auto"/>
              <w:bottom w:val="single" w:sz="6" w:space="0" w:color="auto"/>
              <w:right w:val="single" w:sz="6" w:space="0" w:color="auto"/>
            </w:tcBorders>
            <w:shd w:val="clear" w:color="auto" w:fill="173F35" w:themeFill="accent1"/>
          </w:tcPr>
          <w:p w14:paraId="3A7278F9" w14:textId="77777777" w:rsidR="007B5347" w:rsidRPr="0013422C" w:rsidRDefault="007B5347" w:rsidP="003A16D3">
            <w:pPr>
              <w:spacing w:before="0"/>
              <w:rPr>
                <w:color w:val="FFFFFF" w:themeColor="background1"/>
                <w:lang w:eastAsia="en-AU"/>
              </w:rPr>
            </w:pPr>
            <w:r w:rsidRPr="0013422C">
              <w:rPr>
                <w:rFonts w:eastAsia="Times New Roman" w:cs="Times New Roman"/>
                <w:b/>
                <w:bCs/>
                <w:color w:val="FFFFFF"/>
                <w:lang w:eastAsia="en-AU"/>
              </w:rPr>
              <w:t>Career of Choice: Promoting the Visitor Economy</w:t>
            </w:r>
          </w:p>
        </w:tc>
      </w:tr>
      <w:tr w:rsidR="007B5347" w:rsidRPr="0013422C" w14:paraId="5F70447C" w14:textId="77777777" w:rsidTr="007A3AFB">
        <w:trPr>
          <w:trHeight w:val="372"/>
          <w:jc w:val="center"/>
        </w:trPr>
        <w:tc>
          <w:tcPr>
            <w:tcW w:w="15594" w:type="dxa"/>
            <w:gridSpan w:val="7"/>
            <w:tcBorders>
              <w:top w:val="single" w:sz="6" w:space="0" w:color="auto"/>
              <w:left w:val="single" w:sz="6" w:space="0" w:color="auto"/>
              <w:bottom w:val="single" w:sz="6" w:space="0" w:color="auto"/>
              <w:right w:val="single" w:sz="6" w:space="0" w:color="auto"/>
            </w:tcBorders>
            <w:shd w:val="clear" w:color="auto" w:fill="216644" w:themeFill="accent3"/>
          </w:tcPr>
          <w:p w14:paraId="5E0E2362" w14:textId="77777777" w:rsidR="007B5347" w:rsidRDefault="007B5347" w:rsidP="007A3AFB">
            <w:pPr>
              <w:spacing w:before="0" w:after="0"/>
              <w:jc w:val="center"/>
              <w:rPr>
                <w:color w:val="FFFFFF" w:themeColor="background1"/>
                <w:lang w:eastAsia="en-AU"/>
              </w:rPr>
            </w:pPr>
            <w:r>
              <w:rPr>
                <w:color w:val="FFFFFF" w:themeColor="background1"/>
                <w:lang w:eastAsia="en-AU"/>
              </w:rPr>
              <w:t xml:space="preserve">INDUSTRY INITIATIVES </w:t>
            </w:r>
          </w:p>
        </w:tc>
      </w:tr>
      <w:tr w:rsidR="007B5347" w:rsidRPr="0013422C" w14:paraId="00E85557" w14:textId="77777777" w:rsidTr="007B5347">
        <w:trPr>
          <w:trHeight w:val="1005"/>
          <w:jc w:val="center"/>
        </w:trPr>
        <w:tc>
          <w:tcPr>
            <w:tcW w:w="3163" w:type="dxa"/>
            <w:gridSpan w:val="2"/>
            <w:tcBorders>
              <w:top w:val="single" w:sz="6" w:space="0" w:color="auto"/>
              <w:left w:val="single" w:sz="6" w:space="0" w:color="auto"/>
              <w:bottom w:val="single" w:sz="4" w:space="0" w:color="auto"/>
              <w:right w:val="single" w:sz="6" w:space="0" w:color="auto"/>
            </w:tcBorders>
            <w:shd w:val="clear" w:color="auto" w:fill="auto"/>
          </w:tcPr>
          <w:p w14:paraId="710039BD" w14:textId="77777777" w:rsidR="007B5347" w:rsidRPr="007B5347" w:rsidRDefault="007B5347" w:rsidP="008267F2">
            <w:pPr>
              <w:pStyle w:val="ListBullet"/>
              <w:rPr>
                <w:rFonts w:ascii="Verdana" w:hAnsi="Verdana"/>
                <w:sz w:val="16"/>
                <w:szCs w:val="16"/>
                <w:lang w:eastAsia="en-AU"/>
              </w:rPr>
            </w:pPr>
            <w:r w:rsidRPr="007B5347">
              <w:rPr>
                <w:rFonts w:ascii="Verdana" w:hAnsi="Verdana"/>
                <w:sz w:val="16"/>
                <w:szCs w:val="16"/>
                <w:lang w:eastAsia="en-AU"/>
              </w:rPr>
              <w:t>Improve the capability of the Quality Tourism Framework (QTF) to support ongoing growth of the tourism industry (delivered by the Australian Tourism Industry Council (ATIC)/Austrade, in progress through funding).</w:t>
            </w:r>
          </w:p>
          <w:p w14:paraId="30B3E8B2" w14:textId="77777777" w:rsidR="007B5347" w:rsidRPr="007B5347" w:rsidRDefault="007B5347" w:rsidP="008267F2">
            <w:pPr>
              <w:pStyle w:val="ListBullet"/>
              <w:rPr>
                <w:rFonts w:ascii="Verdana" w:hAnsi="Verdana"/>
                <w:sz w:val="16"/>
                <w:szCs w:val="16"/>
                <w:lang w:eastAsia="en-AU"/>
              </w:rPr>
            </w:pPr>
            <w:r w:rsidRPr="007B5347">
              <w:rPr>
                <w:rFonts w:ascii="Verdana" w:hAnsi="Verdana"/>
                <w:sz w:val="16"/>
                <w:szCs w:val="16"/>
              </w:rPr>
              <w:t>Implement a Workforce Development Strategy that sets out the industry priorities for workforce development (THRIVE 2030 Action 3.2, delivered by the Australian Chamber of Commerce and Industry – Tourism (ACCI – Tourism) and Tourism Training Australia, in progress).</w:t>
            </w:r>
          </w:p>
          <w:p w14:paraId="00F2B0D6" w14:textId="77777777" w:rsidR="007B5347" w:rsidRPr="007B5347" w:rsidRDefault="007B5347" w:rsidP="008267F2">
            <w:pPr>
              <w:pStyle w:val="ListBullet"/>
              <w:numPr>
                <w:ilvl w:val="0"/>
                <w:numId w:val="0"/>
              </w:numPr>
              <w:rPr>
                <w:rFonts w:ascii="Verdana" w:hAnsi="Verdana"/>
                <w:sz w:val="16"/>
                <w:szCs w:val="16"/>
                <w:lang w:eastAsia="en-AU"/>
              </w:rPr>
            </w:pPr>
          </w:p>
        </w:tc>
        <w:tc>
          <w:tcPr>
            <w:tcW w:w="3207" w:type="dxa"/>
            <w:tcBorders>
              <w:top w:val="single" w:sz="6" w:space="0" w:color="auto"/>
              <w:left w:val="single" w:sz="6" w:space="0" w:color="auto"/>
              <w:bottom w:val="single" w:sz="4" w:space="0" w:color="auto"/>
              <w:right w:val="single" w:sz="6" w:space="0" w:color="auto"/>
            </w:tcBorders>
            <w:shd w:val="clear" w:color="auto" w:fill="auto"/>
          </w:tcPr>
          <w:p w14:paraId="7976AFBF" w14:textId="77777777" w:rsidR="007B5347" w:rsidRPr="007B5347" w:rsidRDefault="007B5347" w:rsidP="007B5347">
            <w:pPr>
              <w:pStyle w:val="ListBullet"/>
              <w:numPr>
                <w:ilvl w:val="0"/>
                <w:numId w:val="17"/>
              </w:numPr>
              <w:ind w:left="242" w:hanging="242"/>
              <w:rPr>
                <w:rFonts w:ascii="Verdana" w:hAnsi="Verdana"/>
                <w:sz w:val="16"/>
                <w:szCs w:val="16"/>
                <w:lang w:eastAsia="en-AU"/>
              </w:rPr>
            </w:pPr>
            <w:r w:rsidRPr="007B5347">
              <w:rPr>
                <w:rFonts w:ascii="Verdana" w:hAnsi="Verdana"/>
                <w:sz w:val="16"/>
                <w:szCs w:val="16"/>
                <w:lang w:eastAsia="en-AU"/>
              </w:rPr>
              <w:t>Establish up to 50 micro-credentials to support better employment practices for tourism operators (delivered by Tourism Training Australia/Victorian Government, delivered).</w:t>
            </w:r>
          </w:p>
          <w:p w14:paraId="59412075" w14:textId="77777777" w:rsidR="007B5347" w:rsidRPr="007B5347" w:rsidRDefault="007B5347" w:rsidP="007B5347">
            <w:pPr>
              <w:pStyle w:val="ListBullet"/>
              <w:numPr>
                <w:ilvl w:val="0"/>
                <w:numId w:val="17"/>
              </w:numPr>
              <w:ind w:left="242" w:hanging="242"/>
              <w:rPr>
                <w:rFonts w:ascii="Verdana" w:hAnsi="Verdana"/>
                <w:sz w:val="16"/>
                <w:szCs w:val="16"/>
                <w:lang w:eastAsia="en-AU"/>
              </w:rPr>
            </w:pPr>
            <w:r w:rsidRPr="007B5347">
              <w:rPr>
                <w:rFonts w:ascii="Verdana" w:hAnsi="Verdana"/>
                <w:sz w:val="16"/>
                <w:szCs w:val="16"/>
                <w:lang w:eastAsia="en-AU"/>
              </w:rPr>
              <w:t>Provide a pathway to accreditation as a professional tour guide through a micro-credential training course (delivered by Tour Guides Australia, in progress).</w:t>
            </w:r>
          </w:p>
          <w:p w14:paraId="32870770" w14:textId="77777777" w:rsidR="007B5347" w:rsidRPr="007B5347" w:rsidRDefault="007B5347" w:rsidP="007B5347">
            <w:pPr>
              <w:pStyle w:val="ListBullet"/>
              <w:numPr>
                <w:ilvl w:val="0"/>
                <w:numId w:val="17"/>
              </w:numPr>
              <w:ind w:left="242" w:hanging="242"/>
              <w:rPr>
                <w:rFonts w:ascii="Verdana" w:hAnsi="Verdana"/>
                <w:sz w:val="16"/>
                <w:szCs w:val="16"/>
                <w:lang w:eastAsia="en-AU"/>
              </w:rPr>
            </w:pPr>
            <w:r w:rsidRPr="007B5347">
              <w:rPr>
                <w:rFonts w:ascii="Verdana" w:hAnsi="Verdana"/>
                <w:sz w:val="16"/>
                <w:szCs w:val="16"/>
                <w:lang w:eastAsia="en-AU"/>
              </w:rPr>
              <w:t>Support people living with disability with paid employment opportunities (delivered by Clubs Australia working closely with government and in partnership with non-government entities, in progress).</w:t>
            </w:r>
          </w:p>
          <w:p w14:paraId="013532DA" w14:textId="77777777" w:rsidR="007B5347" w:rsidRPr="007B5347" w:rsidRDefault="007B5347" w:rsidP="007B5347">
            <w:pPr>
              <w:pStyle w:val="ListBullet"/>
              <w:numPr>
                <w:ilvl w:val="0"/>
                <w:numId w:val="17"/>
              </w:numPr>
              <w:ind w:left="242" w:hanging="242"/>
              <w:rPr>
                <w:rFonts w:ascii="Verdana" w:hAnsi="Verdana"/>
                <w:sz w:val="16"/>
                <w:szCs w:val="16"/>
                <w:lang w:eastAsia="en-AU"/>
              </w:rPr>
            </w:pPr>
            <w:r w:rsidRPr="007B5347">
              <w:rPr>
                <w:rFonts w:ascii="Verdana" w:hAnsi="Verdana"/>
                <w:sz w:val="16"/>
                <w:szCs w:val="16"/>
                <w:lang w:eastAsia="en-AU"/>
              </w:rPr>
              <w:t>Explore opportunities with government for clubs to access and create employment pathways for underrepresented cohorts (delivered by Clubs Australia, in progress).</w:t>
            </w:r>
          </w:p>
          <w:p w14:paraId="70EC7C88" w14:textId="77777777" w:rsidR="007B5347" w:rsidRPr="007B5347" w:rsidRDefault="007B5347" w:rsidP="008267F2">
            <w:pPr>
              <w:pStyle w:val="ListBullet"/>
              <w:numPr>
                <w:ilvl w:val="0"/>
                <w:numId w:val="0"/>
              </w:numPr>
              <w:rPr>
                <w:rFonts w:ascii="Verdana" w:eastAsia="Calibri" w:hAnsi="Verdana" w:cs="Calibri"/>
                <w:sz w:val="16"/>
                <w:szCs w:val="16"/>
              </w:rPr>
            </w:pPr>
          </w:p>
        </w:tc>
        <w:tc>
          <w:tcPr>
            <w:tcW w:w="3215" w:type="dxa"/>
            <w:tcBorders>
              <w:top w:val="single" w:sz="6" w:space="0" w:color="auto"/>
              <w:left w:val="single" w:sz="6" w:space="0" w:color="auto"/>
              <w:bottom w:val="single" w:sz="4" w:space="0" w:color="auto"/>
              <w:right w:val="single" w:sz="6" w:space="0" w:color="auto"/>
            </w:tcBorders>
            <w:shd w:val="clear" w:color="auto" w:fill="auto"/>
          </w:tcPr>
          <w:p w14:paraId="3B72551C" w14:textId="77777777" w:rsidR="007B5347" w:rsidRPr="007B5347" w:rsidRDefault="007B5347" w:rsidP="007B5347">
            <w:pPr>
              <w:pStyle w:val="ListBullet"/>
              <w:numPr>
                <w:ilvl w:val="0"/>
                <w:numId w:val="17"/>
              </w:numPr>
              <w:ind w:left="293" w:hanging="283"/>
              <w:rPr>
                <w:rFonts w:ascii="Verdana" w:hAnsi="Verdana"/>
                <w:sz w:val="16"/>
                <w:szCs w:val="16"/>
                <w:lang w:eastAsia="en-AU"/>
              </w:rPr>
            </w:pPr>
            <w:r w:rsidRPr="007B5347">
              <w:rPr>
                <w:rFonts w:ascii="Verdana" w:hAnsi="Verdana"/>
                <w:sz w:val="16"/>
                <w:szCs w:val="16"/>
                <w:lang w:eastAsia="en-AU"/>
              </w:rPr>
              <w:t xml:space="preserve">Establish an </w:t>
            </w:r>
            <w:hyperlink r:id="rId38" w:history="1">
              <w:r w:rsidRPr="007B5347">
                <w:rPr>
                  <w:rStyle w:val="Hyperlink"/>
                  <w:rFonts w:ascii="Verdana" w:hAnsi="Verdana"/>
                  <w:sz w:val="16"/>
                  <w:szCs w:val="16"/>
                  <w:lang w:eastAsia="en-AU"/>
                </w:rPr>
                <w:t>initiative</w:t>
              </w:r>
            </w:hyperlink>
            <w:r w:rsidRPr="007B5347">
              <w:rPr>
                <w:rFonts w:ascii="Verdana" w:hAnsi="Verdana"/>
                <w:sz w:val="16"/>
                <w:szCs w:val="16"/>
                <w:lang w:eastAsia="en-AU"/>
              </w:rPr>
              <w:t xml:space="preserve"> for tourism and hospitality employers to reimburse WHMs their visa fee, paid under specific conditions, attracting WHMs to visitor economy roles (delivered by ACCI – Tourism, delivered).</w:t>
            </w:r>
          </w:p>
        </w:tc>
        <w:tc>
          <w:tcPr>
            <w:tcW w:w="2864" w:type="dxa"/>
            <w:tcBorders>
              <w:top w:val="single" w:sz="6" w:space="0" w:color="auto"/>
              <w:left w:val="single" w:sz="6" w:space="0" w:color="auto"/>
              <w:bottom w:val="single" w:sz="4" w:space="0" w:color="auto"/>
              <w:right w:val="single" w:sz="6" w:space="0" w:color="auto"/>
            </w:tcBorders>
            <w:shd w:val="clear" w:color="auto" w:fill="auto"/>
          </w:tcPr>
          <w:p w14:paraId="2C37E12C" w14:textId="77777777" w:rsidR="007B5347" w:rsidRPr="007B5347" w:rsidRDefault="007B5347" w:rsidP="007B5347">
            <w:pPr>
              <w:pStyle w:val="ListBullet"/>
              <w:numPr>
                <w:ilvl w:val="0"/>
                <w:numId w:val="17"/>
              </w:numPr>
              <w:ind w:left="342" w:hanging="342"/>
              <w:rPr>
                <w:rFonts w:ascii="Verdana" w:hAnsi="Verdana"/>
                <w:sz w:val="16"/>
                <w:szCs w:val="16"/>
                <w:lang w:eastAsia="en-AU"/>
              </w:rPr>
            </w:pPr>
            <w:r w:rsidRPr="007B5347">
              <w:rPr>
                <w:rFonts w:ascii="Verdana" w:hAnsi="Verdana"/>
                <w:sz w:val="16"/>
                <w:szCs w:val="16"/>
                <w:lang w:eastAsia="en-AU"/>
              </w:rPr>
              <w:t>Establish a workforce skills platform that includes training in a range of visitor economy compliance areas including Responsible Service of Alcohol, COVID Safe Operations and Safe Food Handling. This work has the potential to feed into mutual recognition (delivered by ACCI - Tourism, delivered).</w:t>
            </w:r>
          </w:p>
          <w:p w14:paraId="76C63231" w14:textId="77777777" w:rsidR="007B5347" w:rsidRPr="007B5347" w:rsidRDefault="007B5347" w:rsidP="007B5347">
            <w:pPr>
              <w:pStyle w:val="ListBullet"/>
              <w:numPr>
                <w:ilvl w:val="0"/>
                <w:numId w:val="17"/>
              </w:numPr>
              <w:ind w:left="342" w:hanging="342"/>
              <w:rPr>
                <w:rFonts w:ascii="Verdana" w:hAnsi="Verdana"/>
                <w:sz w:val="16"/>
                <w:szCs w:val="16"/>
                <w:lang w:eastAsia="en-AU"/>
              </w:rPr>
            </w:pPr>
            <w:r w:rsidRPr="007B5347">
              <w:rPr>
                <w:rFonts w:ascii="Verdana" w:hAnsi="Verdana" w:cs="Calibri"/>
                <w:sz w:val="16"/>
                <w:szCs w:val="16"/>
              </w:rPr>
              <w:t>Establish ongoing training programs to assist tourism operators with becoming trade ready in specific markets and segments, such as the Indian market and the accessible and inclusive segment (delivered by the Australian Tourism Export Council (ATEC), delivered).</w:t>
            </w:r>
          </w:p>
        </w:tc>
        <w:tc>
          <w:tcPr>
            <w:tcW w:w="3145" w:type="dxa"/>
            <w:gridSpan w:val="2"/>
            <w:tcBorders>
              <w:top w:val="single" w:sz="6" w:space="0" w:color="auto"/>
              <w:left w:val="single" w:sz="6" w:space="0" w:color="auto"/>
              <w:bottom w:val="single" w:sz="4" w:space="0" w:color="auto"/>
              <w:right w:val="single" w:sz="6" w:space="0" w:color="auto"/>
            </w:tcBorders>
            <w:shd w:val="clear" w:color="auto" w:fill="auto"/>
          </w:tcPr>
          <w:p w14:paraId="2C808082" w14:textId="77777777" w:rsidR="007B5347" w:rsidRPr="007B5347" w:rsidRDefault="007B5347" w:rsidP="008267F2">
            <w:pPr>
              <w:pStyle w:val="ListBullet"/>
              <w:rPr>
                <w:rFonts w:ascii="Verdana" w:hAnsi="Verdana"/>
                <w:sz w:val="16"/>
                <w:szCs w:val="16"/>
                <w:lang w:eastAsia="en-AU"/>
              </w:rPr>
            </w:pPr>
            <w:r w:rsidRPr="007B5347">
              <w:rPr>
                <w:rFonts w:ascii="Verdana" w:hAnsi="Verdana"/>
                <w:sz w:val="16"/>
                <w:szCs w:val="16"/>
                <w:lang w:eastAsia="en-AU"/>
              </w:rPr>
              <w:t>Expand Accommodation Australia’s ‘The HUB’ online platform to offer bespoke training and upskilling of workers in the visitor economy (delivered by Accommodation Australia/ Austrade, in progress).</w:t>
            </w:r>
          </w:p>
          <w:p w14:paraId="58CEB4B2" w14:textId="77777777" w:rsidR="007B5347" w:rsidRPr="007B5347" w:rsidRDefault="007B5347" w:rsidP="008267F2">
            <w:pPr>
              <w:pStyle w:val="ListBullet"/>
              <w:rPr>
                <w:rFonts w:ascii="Verdana" w:hAnsi="Verdana"/>
                <w:sz w:val="16"/>
                <w:szCs w:val="16"/>
                <w:lang w:eastAsia="en-AU"/>
              </w:rPr>
            </w:pPr>
            <w:r w:rsidRPr="007B5347">
              <w:rPr>
                <w:rFonts w:ascii="Verdana" w:hAnsi="Verdana"/>
                <w:sz w:val="16"/>
                <w:szCs w:val="16"/>
                <w:lang w:eastAsia="en-AU"/>
              </w:rPr>
              <w:t>Liaise with tourism industry groups to expand the HUB and deliver a whole of industry platform for the visitor economy (delivered by Accommodation Australia, in progress).</w:t>
            </w:r>
          </w:p>
          <w:p w14:paraId="0CF6F6B8" w14:textId="77777777" w:rsidR="007B5347" w:rsidRPr="007B5347" w:rsidRDefault="007B5347" w:rsidP="008267F2">
            <w:pPr>
              <w:pStyle w:val="ListBullet"/>
              <w:rPr>
                <w:rFonts w:ascii="Verdana" w:hAnsi="Verdana"/>
                <w:sz w:val="16"/>
                <w:szCs w:val="16"/>
                <w:lang w:eastAsia="en-AU"/>
              </w:rPr>
            </w:pPr>
            <w:r w:rsidRPr="007B5347">
              <w:rPr>
                <w:rFonts w:ascii="Verdana" w:hAnsi="Verdana"/>
                <w:sz w:val="16"/>
                <w:szCs w:val="16"/>
                <w:lang w:eastAsia="en-AU"/>
              </w:rPr>
              <w:t xml:space="preserve">Develop content on travel, </w:t>
            </w:r>
            <w:proofErr w:type="gramStart"/>
            <w:r w:rsidRPr="007B5347">
              <w:rPr>
                <w:rFonts w:ascii="Verdana" w:hAnsi="Verdana"/>
                <w:sz w:val="16"/>
                <w:szCs w:val="16"/>
                <w:lang w:eastAsia="en-AU"/>
              </w:rPr>
              <w:t>tourism</w:t>
            </w:r>
            <w:proofErr w:type="gramEnd"/>
            <w:r w:rsidRPr="007B5347">
              <w:rPr>
                <w:rFonts w:ascii="Verdana" w:hAnsi="Verdana"/>
                <w:sz w:val="16"/>
                <w:szCs w:val="16"/>
                <w:lang w:eastAsia="en-AU"/>
              </w:rPr>
              <w:t xml:space="preserve"> and hospitality careers options (delivered by ACCI – Tourism, ATEC and DEWR, in progress).</w:t>
            </w:r>
          </w:p>
          <w:p w14:paraId="7963B374" w14:textId="77777777" w:rsidR="007B5347" w:rsidRPr="007B5347" w:rsidRDefault="007B5347" w:rsidP="008267F2">
            <w:pPr>
              <w:pStyle w:val="ListBullet"/>
              <w:rPr>
                <w:rFonts w:ascii="Verdana" w:hAnsi="Verdana"/>
                <w:sz w:val="16"/>
                <w:szCs w:val="16"/>
                <w:lang w:eastAsia="en-AU"/>
              </w:rPr>
            </w:pPr>
            <w:r w:rsidRPr="007B5347">
              <w:rPr>
                <w:rFonts w:ascii="Verdana" w:hAnsi="Verdana"/>
                <w:sz w:val="16"/>
                <w:szCs w:val="16"/>
                <w:lang w:eastAsia="en-AU"/>
              </w:rPr>
              <w:t xml:space="preserve">Continue to look for opportunities to launch Go </w:t>
            </w:r>
            <w:proofErr w:type="gramStart"/>
            <w:r w:rsidRPr="007B5347">
              <w:rPr>
                <w:rFonts w:ascii="Verdana" w:hAnsi="Verdana"/>
                <w:sz w:val="16"/>
                <w:szCs w:val="16"/>
                <w:lang w:eastAsia="en-AU"/>
              </w:rPr>
              <w:t>With</w:t>
            </w:r>
            <w:proofErr w:type="gramEnd"/>
            <w:r w:rsidRPr="007B5347">
              <w:rPr>
                <w:rFonts w:ascii="Verdana" w:hAnsi="Verdana"/>
                <w:sz w:val="16"/>
                <w:szCs w:val="16"/>
                <w:lang w:eastAsia="en-AU"/>
              </w:rPr>
              <w:t xml:space="preserve"> Tourism in Australia (delivered by Tourism Training Australia and ATEC, in progress).</w:t>
            </w:r>
          </w:p>
        </w:tc>
      </w:tr>
    </w:tbl>
    <w:p w14:paraId="712971E6" w14:textId="77777777" w:rsidR="007B5347" w:rsidRDefault="007B5347" w:rsidP="007B5347">
      <w:pPr>
        <w:pStyle w:val="BulletList"/>
        <w:numPr>
          <w:ilvl w:val="0"/>
          <w:numId w:val="0"/>
        </w:numPr>
      </w:pPr>
    </w:p>
    <w:p w14:paraId="3817F3FE" w14:textId="77777777" w:rsidR="007B5347" w:rsidRDefault="007B5347" w:rsidP="007B5347">
      <w:pPr>
        <w:pStyle w:val="BulletList"/>
        <w:numPr>
          <w:ilvl w:val="0"/>
          <w:numId w:val="0"/>
        </w:numPr>
      </w:pPr>
    </w:p>
    <w:p w14:paraId="36501384" w14:textId="77777777" w:rsidR="007A3AFB" w:rsidRDefault="007A3AFB" w:rsidP="007B5347">
      <w:pPr>
        <w:pStyle w:val="BulletList"/>
        <w:numPr>
          <w:ilvl w:val="0"/>
          <w:numId w:val="0"/>
        </w:numPr>
      </w:pPr>
    </w:p>
    <w:p w14:paraId="3CDD5069" w14:textId="77777777" w:rsidR="007A3AFB" w:rsidRDefault="007A3AFB" w:rsidP="007B5347">
      <w:pPr>
        <w:pStyle w:val="BulletList"/>
        <w:numPr>
          <w:ilvl w:val="0"/>
          <w:numId w:val="0"/>
        </w:numPr>
      </w:pPr>
    </w:p>
    <w:p w14:paraId="1135DE55" w14:textId="77777777" w:rsidR="007A3AFB" w:rsidRDefault="007A3AFB" w:rsidP="007B5347">
      <w:pPr>
        <w:pStyle w:val="BulletList"/>
        <w:numPr>
          <w:ilvl w:val="0"/>
          <w:numId w:val="0"/>
        </w:numPr>
      </w:pPr>
    </w:p>
    <w:p w14:paraId="53C2512D" w14:textId="77777777" w:rsidR="007A3AFB" w:rsidRDefault="007A3AFB" w:rsidP="007B5347">
      <w:pPr>
        <w:pStyle w:val="BulletList"/>
        <w:numPr>
          <w:ilvl w:val="0"/>
          <w:numId w:val="0"/>
        </w:numPr>
      </w:pPr>
    </w:p>
    <w:p w14:paraId="26AA75E5" w14:textId="77777777" w:rsidR="007A3AFB" w:rsidRDefault="007A3AFB" w:rsidP="007B5347">
      <w:pPr>
        <w:pStyle w:val="BulletList"/>
        <w:numPr>
          <w:ilvl w:val="0"/>
          <w:numId w:val="0"/>
        </w:numPr>
      </w:pPr>
    </w:p>
    <w:p w14:paraId="753AA097" w14:textId="77777777" w:rsidR="007A3AFB" w:rsidRDefault="007A3AFB" w:rsidP="007B5347">
      <w:pPr>
        <w:pStyle w:val="BulletList"/>
        <w:numPr>
          <w:ilvl w:val="0"/>
          <w:numId w:val="0"/>
        </w:numPr>
      </w:pPr>
    </w:p>
    <w:p w14:paraId="217CC30E" w14:textId="77777777" w:rsidR="003A16D3" w:rsidRDefault="003A16D3" w:rsidP="007B5347">
      <w:pPr>
        <w:pStyle w:val="BulletList"/>
        <w:numPr>
          <w:ilvl w:val="0"/>
          <w:numId w:val="0"/>
        </w:numPr>
      </w:pPr>
    </w:p>
    <w:tbl>
      <w:tblPr>
        <w:tblW w:w="15594"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18"/>
        <w:gridCol w:w="45"/>
        <w:gridCol w:w="3207"/>
        <w:gridCol w:w="3215"/>
        <w:gridCol w:w="2864"/>
        <w:gridCol w:w="3145"/>
      </w:tblGrid>
      <w:tr w:rsidR="007B5347" w:rsidRPr="0013422C" w14:paraId="19BDAA5E" w14:textId="77777777" w:rsidTr="007B5347">
        <w:trPr>
          <w:trHeight w:val="209"/>
          <w:jc w:val="center"/>
        </w:trPr>
        <w:tc>
          <w:tcPr>
            <w:tcW w:w="3118" w:type="dxa"/>
            <w:tcBorders>
              <w:top w:val="single" w:sz="6" w:space="0" w:color="auto"/>
              <w:left w:val="single" w:sz="6" w:space="0" w:color="auto"/>
              <w:bottom w:val="single" w:sz="6" w:space="0" w:color="auto"/>
              <w:right w:val="single" w:sz="6" w:space="0" w:color="auto"/>
            </w:tcBorders>
            <w:shd w:val="clear" w:color="auto" w:fill="173F35" w:themeFill="accent1"/>
          </w:tcPr>
          <w:p w14:paraId="0A188433" w14:textId="77777777" w:rsidR="007B5347" w:rsidRPr="007B5347" w:rsidRDefault="007B5347" w:rsidP="008267F2">
            <w:pPr>
              <w:pStyle w:val="ListBullet"/>
              <w:numPr>
                <w:ilvl w:val="0"/>
                <w:numId w:val="0"/>
              </w:numPr>
              <w:ind w:left="4" w:hanging="4"/>
              <w:rPr>
                <w:rFonts w:ascii="Verdana" w:hAnsi="Verdana"/>
                <w:b/>
                <w:bCs/>
                <w:color w:val="FFFFFF" w:themeColor="background1"/>
                <w:lang w:eastAsia="en-AU"/>
              </w:rPr>
            </w:pPr>
            <w:r w:rsidRPr="007B5347">
              <w:rPr>
                <w:rFonts w:ascii="Verdana" w:eastAsia="Times New Roman" w:hAnsi="Verdana" w:cs="Times New Roman"/>
                <w:b/>
                <w:bCs/>
                <w:color w:val="FFFFFF"/>
                <w:lang w:eastAsia="en-AU"/>
              </w:rPr>
              <w:t>Addressing Workforce Supply: Structural Challenges</w:t>
            </w:r>
          </w:p>
        </w:tc>
        <w:tc>
          <w:tcPr>
            <w:tcW w:w="3252" w:type="dxa"/>
            <w:gridSpan w:val="2"/>
            <w:tcBorders>
              <w:top w:val="single" w:sz="6" w:space="0" w:color="auto"/>
              <w:left w:val="single" w:sz="6" w:space="0" w:color="auto"/>
              <w:bottom w:val="single" w:sz="6" w:space="0" w:color="auto"/>
              <w:right w:val="single" w:sz="6" w:space="0" w:color="auto"/>
            </w:tcBorders>
            <w:shd w:val="clear" w:color="auto" w:fill="173F35" w:themeFill="accent1"/>
          </w:tcPr>
          <w:p w14:paraId="69944927" w14:textId="77777777" w:rsidR="007B5347" w:rsidRPr="007B5347" w:rsidRDefault="007B5347" w:rsidP="008267F2">
            <w:pPr>
              <w:pStyle w:val="ListBullet"/>
              <w:numPr>
                <w:ilvl w:val="0"/>
                <w:numId w:val="0"/>
              </w:numPr>
              <w:ind w:left="3"/>
              <w:rPr>
                <w:rFonts w:ascii="Verdana" w:hAnsi="Verdana"/>
                <w:b/>
                <w:bCs/>
                <w:color w:val="FFFFFF" w:themeColor="background1"/>
                <w:lang w:eastAsia="en-AU"/>
              </w:rPr>
            </w:pPr>
            <w:r w:rsidRPr="007B5347">
              <w:rPr>
                <w:rFonts w:ascii="Verdana" w:eastAsia="Times New Roman" w:hAnsi="Verdana" w:cs="Times New Roman"/>
                <w:b/>
                <w:bCs/>
                <w:color w:val="FFFFFF"/>
                <w:lang w:eastAsia="en-AU"/>
              </w:rPr>
              <w:t>Addressing Workforce Supply: Domestic Workforce</w:t>
            </w:r>
          </w:p>
        </w:tc>
        <w:tc>
          <w:tcPr>
            <w:tcW w:w="3215" w:type="dxa"/>
            <w:tcBorders>
              <w:top w:val="single" w:sz="6" w:space="0" w:color="auto"/>
              <w:left w:val="single" w:sz="6" w:space="0" w:color="auto"/>
              <w:bottom w:val="single" w:sz="6" w:space="0" w:color="auto"/>
              <w:right w:val="single" w:sz="6" w:space="0" w:color="auto"/>
            </w:tcBorders>
            <w:shd w:val="clear" w:color="auto" w:fill="173F35" w:themeFill="accent1"/>
          </w:tcPr>
          <w:p w14:paraId="78C758F2" w14:textId="77777777" w:rsidR="007B5347" w:rsidRPr="007B5347" w:rsidRDefault="007B5347" w:rsidP="008267F2">
            <w:pPr>
              <w:pStyle w:val="ListBullet"/>
              <w:numPr>
                <w:ilvl w:val="0"/>
                <w:numId w:val="0"/>
              </w:numPr>
              <w:ind w:left="10"/>
              <w:rPr>
                <w:rFonts w:ascii="Verdana" w:hAnsi="Verdana"/>
                <w:b/>
                <w:bCs/>
                <w:color w:val="FFFFFF" w:themeColor="background1"/>
                <w:lang w:eastAsia="en-AU"/>
              </w:rPr>
            </w:pPr>
            <w:r w:rsidRPr="007B5347">
              <w:rPr>
                <w:rFonts w:ascii="Verdana" w:eastAsia="Times New Roman" w:hAnsi="Verdana" w:cs="Times New Roman"/>
                <w:b/>
                <w:bCs/>
                <w:color w:val="FFFFFF"/>
                <w:lang w:eastAsia="en-AU"/>
              </w:rPr>
              <w:t>Addressing Workforce Supply: International Workforce</w:t>
            </w:r>
          </w:p>
        </w:tc>
        <w:tc>
          <w:tcPr>
            <w:tcW w:w="2864" w:type="dxa"/>
            <w:tcBorders>
              <w:top w:val="single" w:sz="6" w:space="0" w:color="auto"/>
              <w:left w:val="single" w:sz="6" w:space="0" w:color="auto"/>
              <w:bottom w:val="single" w:sz="6" w:space="0" w:color="auto"/>
              <w:right w:val="single" w:sz="6" w:space="0" w:color="auto"/>
            </w:tcBorders>
            <w:shd w:val="clear" w:color="auto" w:fill="173F35" w:themeFill="accent1"/>
          </w:tcPr>
          <w:p w14:paraId="12AC3ED1" w14:textId="77777777" w:rsidR="007B5347" w:rsidRPr="007B5347" w:rsidRDefault="007B5347" w:rsidP="008267F2">
            <w:pPr>
              <w:pStyle w:val="ListBullet"/>
              <w:numPr>
                <w:ilvl w:val="0"/>
                <w:numId w:val="0"/>
              </w:numPr>
              <w:ind w:left="59"/>
              <w:rPr>
                <w:rFonts w:ascii="Verdana" w:hAnsi="Verdana"/>
                <w:b/>
                <w:bCs/>
                <w:color w:val="FFFFFF" w:themeColor="background1"/>
                <w:lang w:eastAsia="en-AU"/>
              </w:rPr>
            </w:pPr>
            <w:r w:rsidRPr="007B5347">
              <w:rPr>
                <w:rFonts w:ascii="Verdana" w:eastAsia="Times New Roman" w:hAnsi="Verdana" w:cs="Times New Roman"/>
                <w:b/>
                <w:bCs/>
                <w:color w:val="FFFFFF"/>
                <w:lang w:eastAsia="en-AU"/>
              </w:rPr>
              <w:t>Skills: Improving Workforce Capability</w:t>
            </w:r>
          </w:p>
        </w:tc>
        <w:tc>
          <w:tcPr>
            <w:tcW w:w="3145" w:type="dxa"/>
            <w:tcBorders>
              <w:top w:val="single" w:sz="6" w:space="0" w:color="auto"/>
              <w:left w:val="single" w:sz="6" w:space="0" w:color="auto"/>
              <w:bottom w:val="single" w:sz="6" w:space="0" w:color="auto"/>
              <w:right w:val="single" w:sz="6" w:space="0" w:color="auto"/>
            </w:tcBorders>
            <w:shd w:val="clear" w:color="auto" w:fill="173F35" w:themeFill="accent1"/>
          </w:tcPr>
          <w:p w14:paraId="74F297FD" w14:textId="77777777" w:rsidR="007B5347" w:rsidRPr="007B5347" w:rsidRDefault="007B5347" w:rsidP="008267F2">
            <w:pPr>
              <w:pStyle w:val="ListBullet"/>
              <w:numPr>
                <w:ilvl w:val="0"/>
                <w:numId w:val="0"/>
              </w:numPr>
              <w:ind w:left="29"/>
              <w:rPr>
                <w:rFonts w:ascii="Verdana" w:hAnsi="Verdana"/>
                <w:b/>
                <w:bCs/>
                <w:color w:val="FFFFFF" w:themeColor="background1"/>
                <w:lang w:eastAsia="en-AU"/>
              </w:rPr>
            </w:pPr>
            <w:r w:rsidRPr="007B5347">
              <w:rPr>
                <w:rFonts w:ascii="Verdana" w:eastAsia="Times New Roman" w:hAnsi="Verdana" w:cs="Times New Roman"/>
                <w:b/>
                <w:bCs/>
                <w:color w:val="FFFFFF"/>
                <w:lang w:eastAsia="en-AU"/>
              </w:rPr>
              <w:t>Career of Choice: Promoting the Visitor Economy</w:t>
            </w:r>
          </w:p>
        </w:tc>
      </w:tr>
      <w:tr w:rsidR="007B5347" w:rsidRPr="0013422C" w14:paraId="7FD1CE6A" w14:textId="77777777" w:rsidTr="007B5347">
        <w:trPr>
          <w:trHeight w:val="209"/>
          <w:jc w:val="center"/>
        </w:trPr>
        <w:tc>
          <w:tcPr>
            <w:tcW w:w="15594" w:type="dxa"/>
            <w:gridSpan w:val="6"/>
            <w:tcBorders>
              <w:top w:val="single" w:sz="6" w:space="0" w:color="auto"/>
              <w:left w:val="single" w:sz="6" w:space="0" w:color="auto"/>
              <w:bottom w:val="single" w:sz="6" w:space="0" w:color="auto"/>
              <w:right w:val="single" w:sz="6" w:space="0" w:color="auto"/>
            </w:tcBorders>
            <w:shd w:val="clear" w:color="auto" w:fill="216644" w:themeFill="accent3"/>
          </w:tcPr>
          <w:p w14:paraId="1C3D8987" w14:textId="77777777" w:rsidR="007B5347" w:rsidRPr="007B5347" w:rsidRDefault="007B5347" w:rsidP="008267F2">
            <w:pPr>
              <w:pStyle w:val="ListBullet"/>
              <w:numPr>
                <w:ilvl w:val="0"/>
                <w:numId w:val="0"/>
              </w:numPr>
              <w:ind w:left="360"/>
              <w:jc w:val="center"/>
              <w:rPr>
                <w:rFonts w:ascii="Verdana" w:hAnsi="Verdana"/>
                <w:color w:val="FFFFFF" w:themeColor="background1"/>
                <w:lang w:eastAsia="en-AU"/>
              </w:rPr>
            </w:pPr>
            <w:r w:rsidRPr="007B5347">
              <w:rPr>
                <w:rFonts w:ascii="Verdana" w:hAnsi="Verdana"/>
                <w:color w:val="FFFFFF" w:themeColor="background1"/>
                <w:lang w:eastAsia="en-AU"/>
              </w:rPr>
              <w:t>OUTCOMES</w:t>
            </w:r>
          </w:p>
        </w:tc>
      </w:tr>
      <w:tr w:rsidR="007B5347" w:rsidRPr="0013422C" w14:paraId="523ABEB6" w14:textId="77777777" w:rsidTr="007B5347">
        <w:trPr>
          <w:trHeight w:val="63"/>
          <w:jc w:val="center"/>
        </w:trPr>
        <w:tc>
          <w:tcPr>
            <w:tcW w:w="3163" w:type="dxa"/>
            <w:gridSpan w:val="2"/>
            <w:tcBorders>
              <w:top w:val="single" w:sz="6" w:space="0" w:color="auto"/>
              <w:left w:val="single" w:sz="6" w:space="0" w:color="auto"/>
              <w:bottom w:val="single" w:sz="6" w:space="0" w:color="auto"/>
              <w:right w:val="single" w:sz="6" w:space="0" w:color="auto"/>
            </w:tcBorders>
            <w:shd w:val="clear" w:color="auto" w:fill="auto"/>
          </w:tcPr>
          <w:p w14:paraId="2EE8B890" w14:textId="77777777" w:rsidR="007B5347" w:rsidRPr="007B5347" w:rsidRDefault="007B5347" w:rsidP="008267F2">
            <w:pPr>
              <w:pStyle w:val="ListBullet"/>
              <w:rPr>
                <w:rFonts w:ascii="Verdana" w:hAnsi="Verdana"/>
                <w:sz w:val="16"/>
                <w:szCs w:val="16"/>
                <w:lang w:eastAsia="en-AU"/>
              </w:rPr>
            </w:pPr>
            <w:r w:rsidRPr="007B5347">
              <w:rPr>
                <w:rFonts w:ascii="Verdana" w:hAnsi="Verdana"/>
                <w:sz w:val="16"/>
                <w:szCs w:val="16"/>
                <w:lang w:eastAsia="en-AU"/>
              </w:rPr>
              <w:t>Enhanced understanding of the key structural trends in the Australian labour market, including change arising from technology, demographics, and geographically specific change (led by the Australian Government).</w:t>
            </w:r>
          </w:p>
          <w:p w14:paraId="30FD3020" w14:textId="77777777" w:rsidR="007B5347" w:rsidRPr="007B5347" w:rsidRDefault="007B5347" w:rsidP="008267F2">
            <w:pPr>
              <w:jc w:val="right"/>
              <w:rPr>
                <w:lang w:eastAsia="en-AU"/>
              </w:rPr>
            </w:pPr>
          </w:p>
        </w:tc>
        <w:tc>
          <w:tcPr>
            <w:tcW w:w="3207" w:type="dxa"/>
            <w:tcBorders>
              <w:top w:val="single" w:sz="6" w:space="0" w:color="auto"/>
              <w:left w:val="single" w:sz="6" w:space="0" w:color="auto"/>
              <w:bottom w:val="single" w:sz="6" w:space="0" w:color="auto"/>
              <w:right w:val="single" w:sz="6" w:space="0" w:color="auto"/>
            </w:tcBorders>
            <w:shd w:val="clear" w:color="auto" w:fill="auto"/>
          </w:tcPr>
          <w:p w14:paraId="7C2BFDDC" w14:textId="77777777" w:rsidR="007B5347" w:rsidRPr="007B5347" w:rsidRDefault="007B5347" w:rsidP="008267F2">
            <w:pPr>
              <w:pStyle w:val="ListBullet"/>
              <w:rPr>
                <w:rFonts w:ascii="Verdana" w:hAnsi="Verdana"/>
                <w:sz w:val="16"/>
                <w:szCs w:val="16"/>
                <w:lang w:eastAsia="en-AU"/>
              </w:rPr>
            </w:pPr>
            <w:r w:rsidRPr="007B5347">
              <w:rPr>
                <w:rFonts w:ascii="Verdana" w:hAnsi="Verdana"/>
                <w:sz w:val="16"/>
                <w:szCs w:val="16"/>
                <w:lang w:eastAsia="en-AU"/>
              </w:rPr>
              <w:t>Tourism and travel industries, particularly small and medium enterprises are more confident employing people with disability, First Nations Australians, and other underrepresented cohorts (led by the Australian Government, state &amp; territory governments, and Industry).</w:t>
            </w:r>
          </w:p>
          <w:p w14:paraId="3EB6D0A4" w14:textId="77777777" w:rsidR="007B5347" w:rsidRPr="007B5347" w:rsidRDefault="007B5347" w:rsidP="008267F2">
            <w:pPr>
              <w:pStyle w:val="ListBullet"/>
              <w:rPr>
                <w:rFonts w:ascii="Verdana" w:hAnsi="Verdana"/>
                <w:sz w:val="16"/>
                <w:szCs w:val="16"/>
                <w:lang w:eastAsia="en-AU"/>
              </w:rPr>
            </w:pPr>
            <w:r w:rsidRPr="007B5347">
              <w:rPr>
                <w:rFonts w:ascii="Verdana" w:hAnsi="Verdana"/>
                <w:sz w:val="16"/>
                <w:szCs w:val="16"/>
                <w:lang w:eastAsia="en-AU"/>
              </w:rPr>
              <w:t>Increased number of domestic workers helping to meet workforce needs in the tourism and travel industry (led by the Australian Government, state &amp; territory governments, and Industry).</w:t>
            </w:r>
          </w:p>
          <w:p w14:paraId="066EF6D4" w14:textId="77777777" w:rsidR="007B5347" w:rsidRPr="007B5347" w:rsidRDefault="007B5347" w:rsidP="008267F2">
            <w:pPr>
              <w:pStyle w:val="ListBullet"/>
              <w:rPr>
                <w:rFonts w:ascii="Verdana" w:hAnsi="Verdana"/>
                <w:sz w:val="16"/>
                <w:szCs w:val="16"/>
                <w:lang w:eastAsia="en-AU"/>
              </w:rPr>
            </w:pPr>
            <w:r w:rsidRPr="007B5347">
              <w:rPr>
                <w:rFonts w:ascii="Verdana" w:hAnsi="Verdana"/>
                <w:sz w:val="16"/>
                <w:szCs w:val="16"/>
                <w:lang w:eastAsia="en-AU"/>
              </w:rPr>
              <w:t>Improved visitor economy job opportunities and participation rates for cohorts such as First Nations Australians, people with disability, young workers, and women. This also facilitates a more resilient domestic workforce.</w:t>
            </w:r>
          </w:p>
          <w:p w14:paraId="69FFCEEC" w14:textId="77777777" w:rsidR="007B5347" w:rsidRPr="007B5347" w:rsidRDefault="007B5347" w:rsidP="008267F2">
            <w:pPr>
              <w:pStyle w:val="ListBullet"/>
              <w:numPr>
                <w:ilvl w:val="0"/>
                <w:numId w:val="0"/>
              </w:numPr>
              <w:ind w:left="360"/>
              <w:rPr>
                <w:rFonts w:ascii="Verdana" w:hAnsi="Verdana"/>
                <w:sz w:val="16"/>
                <w:szCs w:val="16"/>
                <w:lang w:eastAsia="en-AU"/>
              </w:rPr>
            </w:pPr>
          </w:p>
        </w:tc>
        <w:tc>
          <w:tcPr>
            <w:tcW w:w="3215" w:type="dxa"/>
            <w:tcBorders>
              <w:top w:val="single" w:sz="6" w:space="0" w:color="auto"/>
              <w:left w:val="single" w:sz="6" w:space="0" w:color="auto"/>
              <w:bottom w:val="single" w:sz="6" w:space="0" w:color="auto"/>
              <w:right w:val="single" w:sz="6" w:space="0" w:color="auto"/>
            </w:tcBorders>
            <w:shd w:val="clear" w:color="auto" w:fill="auto"/>
          </w:tcPr>
          <w:p w14:paraId="15B21E83" w14:textId="77777777" w:rsidR="007B5347" w:rsidRPr="007B5347" w:rsidRDefault="007B5347" w:rsidP="008267F2">
            <w:pPr>
              <w:pStyle w:val="ListBullet"/>
              <w:rPr>
                <w:rFonts w:ascii="Verdana" w:hAnsi="Verdana"/>
                <w:sz w:val="16"/>
                <w:szCs w:val="16"/>
                <w:lang w:eastAsia="en-AU"/>
              </w:rPr>
            </w:pPr>
            <w:r w:rsidRPr="007B5347">
              <w:rPr>
                <w:rFonts w:ascii="Verdana" w:hAnsi="Verdana"/>
                <w:sz w:val="16"/>
                <w:szCs w:val="16"/>
                <w:lang w:eastAsia="en-AU"/>
              </w:rPr>
              <w:t xml:space="preserve">More international visa holders are attracted to Australia including WHMs, international students and Pacific Islanders through working with Home Affairs to revise relevant visa settings, as per announced measures (led by the Australian Government). </w:t>
            </w:r>
          </w:p>
        </w:tc>
        <w:tc>
          <w:tcPr>
            <w:tcW w:w="2864" w:type="dxa"/>
            <w:tcBorders>
              <w:top w:val="single" w:sz="6" w:space="0" w:color="auto"/>
              <w:left w:val="single" w:sz="6" w:space="0" w:color="auto"/>
              <w:bottom w:val="single" w:sz="6" w:space="0" w:color="auto"/>
              <w:right w:val="single" w:sz="6" w:space="0" w:color="auto"/>
            </w:tcBorders>
            <w:shd w:val="clear" w:color="auto" w:fill="auto"/>
          </w:tcPr>
          <w:p w14:paraId="6D4934D8" w14:textId="77777777" w:rsidR="007B5347" w:rsidRPr="007B5347" w:rsidRDefault="007B5347" w:rsidP="008267F2">
            <w:pPr>
              <w:pStyle w:val="ListBullet"/>
              <w:rPr>
                <w:rFonts w:ascii="Verdana" w:hAnsi="Verdana"/>
                <w:sz w:val="16"/>
                <w:szCs w:val="16"/>
                <w:lang w:eastAsia="en-AU"/>
              </w:rPr>
            </w:pPr>
            <w:r w:rsidRPr="007B5347">
              <w:rPr>
                <w:rFonts w:ascii="Verdana" w:hAnsi="Verdana"/>
                <w:sz w:val="16"/>
                <w:szCs w:val="16"/>
                <w:lang w:eastAsia="en-AU"/>
              </w:rPr>
              <w:t>More opportunities to enter the sector through internships and industry placements, accompanied by work experience opportunities with reputable tourism organisations (led by Industry and the Australian Government).</w:t>
            </w:r>
          </w:p>
          <w:p w14:paraId="2C7D3795" w14:textId="77777777" w:rsidR="007B5347" w:rsidRPr="007B5347" w:rsidRDefault="007B5347" w:rsidP="008267F2">
            <w:pPr>
              <w:pStyle w:val="ListBullet"/>
              <w:rPr>
                <w:rFonts w:ascii="Verdana" w:hAnsi="Verdana"/>
                <w:sz w:val="16"/>
                <w:szCs w:val="16"/>
                <w:lang w:eastAsia="en-AU"/>
              </w:rPr>
            </w:pPr>
            <w:r w:rsidRPr="007B5347">
              <w:rPr>
                <w:rFonts w:ascii="Verdana" w:hAnsi="Verdana"/>
                <w:sz w:val="16"/>
                <w:szCs w:val="16"/>
                <w:lang w:eastAsia="en-AU"/>
              </w:rPr>
              <w:t>Tourism and travel employers improve ‘on the job’ training, including through micro credential training</w:t>
            </w:r>
            <w:r w:rsidRPr="007B5347">
              <w:rPr>
                <w:rFonts w:ascii="Verdana" w:hAnsi="Verdana"/>
                <w:i/>
                <w:iCs/>
                <w:sz w:val="16"/>
                <w:szCs w:val="16"/>
                <w:lang w:eastAsia="en-AU"/>
              </w:rPr>
              <w:t xml:space="preserve"> </w:t>
            </w:r>
            <w:r w:rsidRPr="007B5347">
              <w:rPr>
                <w:rFonts w:ascii="Verdana" w:hAnsi="Verdana"/>
                <w:sz w:val="16"/>
                <w:szCs w:val="16"/>
                <w:lang w:eastAsia="en-AU"/>
              </w:rPr>
              <w:t>(led by the Australian Government and state &amp; territory governments and Industry).</w:t>
            </w:r>
          </w:p>
          <w:p w14:paraId="5ACA255F" w14:textId="77777777" w:rsidR="007B5347" w:rsidRPr="007B5347" w:rsidRDefault="007B5347" w:rsidP="008267F2">
            <w:pPr>
              <w:pStyle w:val="ListBullet"/>
              <w:rPr>
                <w:rFonts w:ascii="Verdana" w:hAnsi="Verdana"/>
                <w:sz w:val="16"/>
                <w:szCs w:val="16"/>
                <w:lang w:eastAsia="en-AU"/>
              </w:rPr>
            </w:pPr>
            <w:r w:rsidRPr="007B5347">
              <w:rPr>
                <w:rFonts w:ascii="Verdana" w:hAnsi="Verdana"/>
                <w:sz w:val="16"/>
                <w:szCs w:val="16"/>
                <w:lang w:eastAsia="en-AU"/>
              </w:rPr>
              <w:t>Qualifications and competencies related to the visitor economy are better recognised across state and territory borders</w:t>
            </w:r>
            <w:r w:rsidRPr="007B5347">
              <w:rPr>
                <w:rFonts w:ascii="Verdana" w:hAnsi="Verdana"/>
                <w:i/>
                <w:iCs/>
                <w:sz w:val="16"/>
                <w:szCs w:val="16"/>
                <w:lang w:eastAsia="en-AU"/>
              </w:rPr>
              <w:t xml:space="preserve"> </w:t>
            </w:r>
            <w:r w:rsidRPr="007B5347">
              <w:rPr>
                <w:rFonts w:ascii="Verdana" w:hAnsi="Verdana"/>
                <w:sz w:val="16"/>
                <w:szCs w:val="16"/>
                <w:lang w:eastAsia="en-AU"/>
              </w:rPr>
              <w:t>(led by the Australian Government and state &amp; territory governments).</w:t>
            </w:r>
          </w:p>
        </w:tc>
        <w:tc>
          <w:tcPr>
            <w:tcW w:w="3145" w:type="dxa"/>
            <w:tcBorders>
              <w:top w:val="single" w:sz="6" w:space="0" w:color="auto"/>
              <w:left w:val="single" w:sz="6" w:space="0" w:color="auto"/>
              <w:bottom w:val="single" w:sz="6" w:space="0" w:color="auto"/>
              <w:right w:val="single" w:sz="6" w:space="0" w:color="auto"/>
            </w:tcBorders>
            <w:shd w:val="clear" w:color="auto" w:fill="auto"/>
          </w:tcPr>
          <w:p w14:paraId="180889FA" w14:textId="77777777" w:rsidR="007B5347" w:rsidRPr="007B5347" w:rsidRDefault="007B5347" w:rsidP="008267F2">
            <w:pPr>
              <w:pStyle w:val="ListBullet"/>
              <w:rPr>
                <w:rFonts w:ascii="Verdana" w:hAnsi="Verdana"/>
                <w:sz w:val="16"/>
                <w:szCs w:val="16"/>
                <w:lang w:eastAsia="en-AU"/>
              </w:rPr>
            </w:pPr>
            <w:r w:rsidRPr="007B5347">
              <w:rPr>
                <w:rFonts w:ascii="Verdana" w:hAnsi="Verdana"/>
                <w:sz w:val="16"/>
                <w:szCs w:val="16"/>
                <w:lang w:eastAsia="en-AU"/>
              </w:rPr>
              <w:t>The visitor economy is promoted as a career of choice, with messaging around the varied job roles, professional pathways in the industry and perception of visitor economy as a career of choice improves</w:t>
            </w:r>
            <w:r w:rsidRPr="007B5347">
              <w:rPr>
                <w:rFonts w:ascii="Verdana" w:hAnsi="Verdana"/>
                <w:i/>
                <w:iCs/>
                <w:sz w:val="16"/>
                <w:szCs w:val="16"/>
                <w:lang w:eastAsia="en-AU"/>
              </w:rPr>
              <w:t xml:space="preserve"> </w:t>
            </w:r>
            <w:r w:rsidRPr="007B5347">
              <w:rPr>
                <w:rFonts w:ascii="Verdana" w:hAnsi="Verdana"/>
                <w:sz w:val="16"/>
                <w:szCs w:val="16"/>
                <w:lang w:eastAsia="en-AU"/>
              </w:rPr>
              <w:t xml:space="preserve">(led by the Australian Government, state &amp; territory </w:t>
            </w:r>
            <w:proofErr w:type="gramStart"/>
            <w:r w:rsidRPr="007B5347">
              <w:rPr>
                <w:rFonts w:ascii="Verdana" w:hAnsi="Verdana"/>
                <w:sz w:val="16"/>
                <w:szCs w:val="16"/>
                <w:lang w:eastAsia="en-AU"/>
              </w:rPr>
              <w:t>governments</w:t>
            </w:r>
            <w:proofErr w:type="gramEnd"/>
            <w:r w:rsidRPr="007B5347">
              <w:rPr>
                <w:rFonts w:ascii="Verdana" w:hAnsi="Verdana"/>
                <w:sz w:val="16"/>
                <w:szCs w:val="16"/>
                <w:lang w:eastAsia="en-AU"/>
              </w:rPr>
              <w:t xml:space="preserve"> and Industry).</w:t>
            </w:r>
          </w:p>
          <w:p w14:paraId="1AA1F4D8" w14:textId="77777777" w:rsidR="007B5347" w:rsidRPr="007B5347" w:rsidRDefault="007B5347" w:rsidP="008267F2">
            <w:pPr>
              <w:pStyle w:val="ListBullet"/>
              <w:numPr>
                <w:ilvl w:val="0"/>
                <w:numId w:val="0"/>
              </w:numPr>
              <w:ind w:left="360"/>
              <w:rPr>
                <w:rFonts w:ascii="Verdana" w:hAnsi="Verdana"/>
                <w:sz w:val="16"/>
                <w:szCs w:val="16"/>
                <w:lang w:eastAsia="en-AU"/>
              </w:rPr>
            </w:pPr>
          </w:p>
        </w:tc>
      </w:tr>
      <w:tr w:rsidR="007B5347" w:rsidRPr="0013422C" w14:paraId="1DFD7717" w14:textId="77777777" w:rsidTr="007A3AFB">
        <w:trPr>
          <w:trHeight w:val="343"/>
          <w:jc w:val="center"/>
        </w:trPr>
        <w:tc>
          <w:tcPr>
            <w:tcW w:w="15594" w:type="dxa"/>
            <w:gridSpan w:val="6"/>
            <w:tcBorders>
              <w:top w:val="single" w:sz="6" w:space="0" w:color="auto"/>
              <w:left w:val="single" w:sz="6" w:space="0" w:color="auto"/>
              <w:bottom w:val="single" w:sz="6" w:space="0" w:color="auto"/>
              <w:right w:val="single" w:sz="6" w:space="0" w:color="auto"/>
            </w:tcBorders>
            <w:shd w:val="clear" w:color="auto" w:fill="216644" w:themeFill="accent3"/>
          </w:tcPr>
          <w:p w14:paraId="32B32775" w14:textId="77777777" w:rsidR="007B5347" w:rsidRPr="0013422C" w:rsidRDefault="007B5347" w:rsidP="007A3AFB">
            <w:pPr>
              <w:spacing w:before="0" w:after="0"/>
              <w:jc w:val="center"/>
              <w:rPr>
                <w:color w:val="FFFFFF" w:themeColor="background1"/>
                <w:lang w:eastAsia="en-AU"/>
              </w:rPr>
            </w:pPr>
            <w:r w:rsidRPr="0013422C">
              <w:rPr>
                <w:color w:val="FFFFFF" w:themeColor="background1"/>
                <w:lang w:eastAsia="en-AU"/>
              </w:rPr>
              <w:t>POTENTIAL MEASUREMENTS</w:t>
            </w:r>
          </w:p>
        </w:tc>
      </w:tr>
      <w:tr w:rsidR="007B5347" w:rsidRPr="0013422C" w14:paraId="3D2B4F77" w14:textId="77777777" w:rsidTr="007B5347">
        <w:trPr>
          <w:trHeight w:val="1005"/>
          <w:jc w:val="center"/>
        </w:trPr>
        <w:tc>
          <w:tcPr>
            <w:tcW w:w="3163" w:type="dxa"/>
            <w:gridSpan w:val="2"/>
            <w:tcBorders>
              <w:top w:val="single" w:sz="6" w:space="0" w:color="auto"/>
              <w:left w:val="single" w:sz="6" w:space="0" w:color="auto"/>
              <w:bottom w:val="single" w:sz="6" w:space="0" w:color="auto"/>
              <w:right w:val="single" w:sz="6" w:space="0" w:color="auto"/>
            </w:tcBorders>
            <w:shd w:val="clear" w:color="auto" w:fill="auto"/>
          </w:tcPr>
          <w:p w14:paraId="1FCE810D" w14:textId="77777777" w:rsidR="007B5347" w:rsidRPr="007B5347" w:rsidRDefault="007B5347" w:rsidP="008267F2">
            <w:pPr>
              <w:pStyle w:val="ListBullet"/>
              <w:rPr>
                <w:rFonts w:ascii="Verdana" w:hAnsi="Verdana"/>
                <w:sz w:val="16"/>
                <w:szCs w:val="16"/>
                <w:lang w:eastAsia="en-AU"/>
              </w:rPr>
            </w:pPr>
            <w:r w:rsidRPr="007B5347">
              <w:rPr>
                <w:rFonts w:ascii="Verdana" w:hAnsi="Verdana"/>
                <w:sz w:val="16"/>
                <w:szCs w:val="16"/>
                <w:lang w:eastAsia="en-AU"/>
              </w:rPr>
              <w:t>Increased number of full-time and part-time tourism jobs as measured by the ABS Tourism Satellite Account and reported by Tourism Research Australia (TRA). </w:t>
            </w:r>
          </w:p>
        </w:tc>
        <w:tc>
          <w:tcPr>
            <w:tcW w:w="3207" w:type="dxa"/>
            <w:tcBorders>
              <w:top w:val="single" w:sz="6" w:space="0" w:color="auto"/>
              <w:left w:val="single" w:sz="6" w:space="0" w:color="auto"/>
              <w:bottom w:val="single" w:sz="6" w:space="0" w:color="auto"/>
              <w:right w:val="single" w:sz="6" w:space="0" w:color="auto"/>
            </w:tcBorders>
            <w:shd w:val="clear" w:color="auto" w:fill="auto"/>
          </w:tcPr>
          <w:p w14:paraId="5039A571" w14:textId="77777777" w:rsidR="007B5347" w:rsidRPr="007B5347" w:rsidRDefault="007B5347" w:rsidP="008267F2">
            <w:pPr>
              <w:pStyle w:val="ListBullet"/>
              <w:rPr>
                <w:rFonts w:ascii="Verdana" w:hAnsi="Verdana"/>
                <w:sz w:val="16"/>
                <w:szCs w:val="16"/>
                <w:lang w:eastAsia="en-AU"/>
              </w:rPr>
            </w:pPr>
            <w:r w:rsidRPr="007B5347">
              <w:rPr>
                <w:rFonts w:ascii="Verdana" w:hAnsi="Verdana"/>
                <w:sz w:val="16"/>
                <w:szCs w:val="16"/>
                <w:lang w:eastAsia="en-AU"/>
              </w:rPr>
              <w:t>Increased participation from underrepresented cohorts, in the tourism workforce. </w:t>
            </w:r>
          </w:p>
        </w:tc>
        <w:tc>
          <w:tcPr>
            <w:tcW w:w="3215" w:type="dxa"/>
            <w:tcBorders>
              <w:top w:val="single" w:sz="6" w:space="0" w:color="auto"/>
              <w:left w:val="single" w:sz="6" w:space="0" w:color="auto"/>
              <w:bottom w:val="single" w:sz="6" w:space="0" w:color="auto"/>
              <w:right w:val="single" w:sz="6" w:space="0" w:color="auto"/>
            </w:tcBorders>
            <w:shd w:val="clear" w:color="auto" w:fill="auto"/>
          </w:tcPr>
          <w:p w14:paraId="4E8CB219" w14:textId="77777777" w:rsidR="007B5347" w:rsidRPr="007B5347" w:rsidRDefault="007B5347" w:rsidP="008267F2">
            <w:pPr>
              <w:pStyle w:val="ListBullet"/>
              <w:rPr>
                <w:rFonts w:ascii="Verdana" w:hAnsi="Verdana"/>
                <w:sz w:val="16"/>
                <w:szCs w:val="16"/>
                <w:lang w:eastAsia="en-AU"/>
              </w:rPr>
            </w:pPr>
            <w:r w:rsidRPr="007B5347">
              <w:rPr>
                <w:rFonts w:ascii="Verdana" w:hAnsi="Verdana"/>
                <w:sz w:val="16"/>
                <w:szCs w:val="16"/>
                <w:lang w:eastAsia="en-AU"/>
              </w:rPr>
              <w:t>Increased number of international visa holders taking up work in the tourism industry, and monitoring visa processing times. </w:t>
            </w:r>
          </w:p>
        </w:tc>
        <w:tc>
          <w:tcPr>
            <w:tcW w:w="2864" w:type="dxa"/>
            <w:tcBorders>
              <w:top w:val="single" w:sz="6" w:space="0" w:color="auto"/>
              <w:left w:val="single" w:sz="6" w:space="0" w:color="auto"/>
              <w:bottom w:val="single" w:sz="6" w:space="0" w:color="auto"/>
              <w:right w:val="single" w:sz="6" w:space="0" w:color="auto"/>
            </w:tcBorders>
            <w:shd w:val="clear" w:color="auto" w:fill="auto"/>
          </w:tcPr>
          <w:p w14:paraId="06993EF4" w14:textId="77777777" w:rsidR="007B5347" w:rsidRPr="007B5347" w:rsidRDefault="007B5347" w:rsidP="008267F2">
            <w:pPr>
              <w:pStyle w:val="ListBullet"/>
              <w:rPr>
                <w:rFonts w:ascii="Verdana" w:hAnsi="Verdana"/>
                <w:sz w:val="16"/>
                <w:szCs w:val="16"/>
                <w:lang w:eastAsia="en-AU"/>
              </w:rPr>
            </w:pPr>
            <w:r w:rsidRPr="007B5347">
              <w:rPr>
                <w:rFonts w:ascii="Verdana" w:hAnsi="Verdana"/>
                <w:sz w:val="16"/>
                <w:szCs w:val="16"/>
                <w:lang w:eastAsia="en-AU"/>
              </w:rPr>
              <w:t>Increased tourism sector productivity as reported by Tourism Research Australia. </w:t>
            </w:r>
          </w:p>
        </w:tc>
        <w:tc>
          <w:tcPr>
            <w:tcW w:w="3145" w:type="dxa"/>
            <w:tcBorders>
              <w:top w:val="single" w:sz="6" w:space="0" w:color="auto"/>
              <w:left w:val="single" w:sz="6" w:space="0" w:color="auto"/>
              <w:bottom w:val="single" w:sz="6" w:space="0" w:color="auto"/>
              <w:right w:val="single" w:sz="6" w:space="0" w:color="auto"/>
            </w:tcBorders>
            <w:shd w:val="clear" w:color="auto" w:fill="auto"/>
          </w:tcPr>
          <w:p w14:paraId="4010D043" w14:textId="77777777" w:rsidR="007B5347" w:rsidRPr="007B5347" w:rsidRDefault="007B5347" w:rsidP="008267F2">
            <w:pPr>
              <w:pStyle w:val="ListBullet"/>
              <w:rPr>
                <w:rFonts w:ascii="Verdana" w:hAnsi="Verdana"/>
                <w:sz w:val="16"/>
                <w:szCs w:val="16"/>
                <w:lang w:eastAsia="en-AU"/>
              </w:rPr>
            </w:pPr>
            <w:r w:rsidRPr="007B5347">
              <w:rPr>
                <w:rFonts w:ascii="Verdana" w:hAnsi="Verdana"/>
                <w:sz w:val="16"/>
                <w:szCs w:val="16"/>
                <w:lang w:eastAsia="en-AU"/>
              </w:rPr>
              <w:t>Increased number of students, international and domestic workers in the tourism industry.</w:t>
            </w:r>
          </w:p>
          <w:p w14:paraId="601267F7" w14:textId="77777777" w:rsidR="007B5347" w:rsidRPr="007B5347" w:rsidRDefault="007B5347" w:rsidP="008267F2">
            <w:pPr>
              <w:pStyle w:val="ListBullet"/>
              <w:numPr>
                <w:ilvl w:val="0"/>
                <w:numId w:val="0"/>
              </w:numPr>
              <w:ind w:left="360"/>
              <w:rPr>
                <w:rFonts w:ascii="Verdana" w:hAnsi="Verdana"/>
                <w:sz w:val="16"/>
                <w:szCs w:val="16"/>
                <w:lang w:eastAsia="en-AU"/>
              </w:rPr>
            </w:pPr>
          </w:p>
        </w:tc>
      </w:tr>
    </w:tbl>
    <w:p w14:paraId="1224CFD7" w14:textId="77777777" w:rsidR="007B5347" w:rsidRDefault="007B5347" w:rsidP="007B5347">
      <w:pPr>
        <w:pStyle w:val="BulletList"/>
        <w:numPr>
          <w:ilvl w:val="0"/>
          <w:numId w:val="0"/>
        </w:numPr>
      </w:pPr>
    </w:p>
    <w:sectPr w:rsidR="007B5347" w:rsidSect="00965A53">
      <w:footerReference w:type="default" r:id="rId39"/>
      <w:pgSz w:w="16838" w:h="11906" w:orient="landscape"/>
      <w:pgMar w:top="992" w:right="851" w:bottom="947" w:left="992" w:header="0" w:footer="3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DC9B5A" w14:textId="77777777" w:rsidR="00174662" w:rsidRDefault="00174662" w:rsidP="007B0021">
      <w:r>
        <w:separator/>
      </w:r>
    </w:p>
    <w:p w14:paraId="12407788" w14:textId="77777777" w:rsidR="00174662" w:rsidRDefault="00174662" w:rsidP="007B0021"/>
  </w:endnote>
  <w:endnote w:type="continuationSeparator" w:id="0">
    <w:p w14:paraId="1621B193" w14:textId="77777777" w:rsidR="00174662" w:rsidRDefault="00174662" w:rsidP="007B0021">
      <w:r>
        <w:continuationSeparator/>
      </w:r>
    </w:p>
    <w:p w14:paraId="25A622C7" w14:textId="77777777" w:rsidR="00174662" w:rsidRDefault="00174662" w:rsidP="007B0021"/>
  </w:endnote>
  <w:endnote w:type="continuationNotice" w:id="1">
    <w:p w14:paraId="639F5848" w14:textId="77777777" w:rsidR="00174662" w:rsidRDefault="00174662">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76CC3B" w14:textId="77777777" w:rsidR="00B73BD8" w:rsidRDefault="00B73B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67FC94" w14:textId="42F748B3" w:rsidR="00704702" w:rsidRPr="003D0704" w:rsidRDefault="00321E47" w:rsidP="003D0704">
    <w:pPr>
      <w:pStyle w:val="Footer"/>
      <w:tabs>
        <w:tab w:val="clear" w:pos="4513"/>
        <w:tab w:val="clear" w:pos="9026"/>
        <w:tab w:val="right" w:pos="9923"/>
      </w:tabs>
      <w:spacing w:before="0"/>
      <w:rPr>
        <w:color w:val="173F35" w:themeColor="accent1"/>
        <w:sz w:val="14"/>
        <w:szCs w:val="14"/>
      </w:rPr>
    </w:pPr>
    <w:r w:rsidRPr="003D0704">
      <w:rPr>
        <w:noProof/>
        <w:color w:val="173F35" w:themeColor="accent1"/>
        <w:sz w:val="14"/>
        <w:szCs w:val="14"/>
        <w:lang w:eastAsia="en-AU"/>
      </w:rPr>
      <mc:AlternateContent>
        <mc:Choice Requires="wps">
          <w:drawing>
            <wp:anchor distT="0" distB="0" distL="114300" distR="114300" simplePos="0" relativeHeight="251658241" behindDoc="0" locked="0" layoutInCell="1" allowOverlap="1" wp14:anchorId="5E8AE5B8" wp14:editId="130EA678">
              <wp:simplePos x="0" y="0"/>
              <wp:positionH relativeFrom="column">
                <wp:posOffset>-23495</wp:posOffset>
              </wp:positionH>
              <wp:positionV relativeFrom="paragraph">
                <wp:posOffset>10697</wp:posOffset>
              </wp:positionV>
              <wp:extent cx="6310386" cy="0"/>
              <wp:effectExtent l="0" t="0" r="28575" b="28575"/>
              <wp:wrapNone/>
              <wp:docPr id="184" name="Straight Connector 18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310386" cy="0"/>
                      </a:xfrm>
                      <a:prstGeom prst="line">
                        <a:avLst/>
                      </a:prstGeom>
                      <a:ln w="19050">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1BE0DB28" id="Straight Connector 184" o:spid="_x0000_s1026" alt="&quot;&quot;" style="position:absolute;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5pt,.85pt" to="495.0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" strokecolor="#173f35 [3204]" strokeweight="1.5pt">
              <v:stroke joinstyle="miter"/>
            </v:line>
          </w:pict>
        </mc:Fallback>
      </mc:AlternateContent>
    </w:r>
    <w:r w:rsidR="00FB790F">
      <w:rPr>
        <w:color w:val="173F35" w:themeColor="accent1"/>
        <w:sz w:val="14"/>
        <w:szCs w:val="14"/>
      </w:rPr>
      <w:t>Visitor Economy Workforce and Sk</w:t>
    </w:r>
    <w:r w:rsidR="007B5347">
      <w:rPr>
        <w:color w:val="173F35" w:themeColor="accent1"/>
        <w:sz w:val="14"/>
        <w:szCs w:val="14"/>
      </w:rPr>
      <w:t>ills Interim Action Plan – 2023-24</w:t>
    </w:r>
    <w:r w:rsidR="003D0704">
      <w:rPr>
        <w:color w:val="173F35" w:themeColor="accent1"/>
        <w:sz w:val="14"/>
        <w:szCs w:val="14"/>
      </w:rPr>
      <w:tab/>
    </w:r>
    <w:r w:rsidR="0028711F">
      <w:rPr>
        <w:color w:val="173F35" w:themeColor="accent1"/>
        <w:sz w:val="14"/>
        <w:szCs w:val="14"/>
      </w:rPr>
      <w:ptab w:relativeTo="margin" w:alignment="right" w:leader="none"/>
    </w:r>
    <w:r w:rsidR="00A86927">
      <w:rPr>
        <w:color w:val="173F35" w:themeColor="accent1"/>
        <w:sz w:val="14"/>
        <w:szCs w:val="14"/>
      </w:rPr>
      <w:fldChar w:fldCharType="begin"/>
    </w:r>
    <w:r w:rsidR="00A86927">
      <w:rPr>
        <w:color w:val="173F35" w:themeColor="accent1"/>
        <w:sz w:val="14"/>
        <w:szCs w:val="14"/>
      </w:rPr>
      <w:instrText xml:space="preserve"> PAGE   \* MERGEFORMAT </w:instrText>
    </w:r>
    <w:r w:rsidR="00A86927">
      <w:rPr>
        <w:color w:val="173F35" w:themeColor="accent1"/>
        <w:sz w:val="14"/>
        <w:szCs w:val="14"/>
      </w:rPr>
      <w:fldChar w:fldCharType="separate"/>
    </w:r>
    <w:r w:rsidR="00251164">
      <w:rPr>
        <w:noProof/>
        <w:color w:val="173F35" w:themeColor="accent1"/>
        <w:sz w:val="14"/>
        <w:szCs w:val="14"/>
      </w:rPr>
      <w:t>1</w:t>
    </w:r>
    <w:r w:rsidR="00A86927">
      <w:rPr>
        <w:color w:val="173F35" w:themeColor="accent1"/>
        <w:sz w:val="14"/>
        <w:szCs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FF146C" w14:textId="3BF6F185" w:rsidR="00D871C3" w:rsidRPr="003D0704" w:rsidRDefault="00B863D3" w:rsidP="003D0704">
    <w:pPr>
      <w:pStyle w:val="Footer"/>
      <w:tabs>
        <w:tab w:val="clear" w:pos="4513"/>
        <w:tab w:val="clear" w:pos="9026"/>
        <w:tab w:val="center" w:pos="0"/>
        <w:tab w:val="right" w:pos="9923"/>
      </w:tabs>
      <w:spacing w:before="0"/>
      <w:rPr>
        <w:color w:val="173F35" w:themeColor="accent1"/>
        <w:sz w:val="14"/>
        <w:szCs w:val="14"/>
      </w:rPr>
    </w:pPr>
    <w:r w:rsidRPr="00B863D3">
      <w:rPr>
        <w:noProof/>
        <w:lang w:eastAsia="en-AU"/>
      </w:rPr>
      <w:drawing>
        <wp:anchor distT="0" distB="0" distL="114300" distR="114300" simplePos="0" relativeHeight="251658240" behindDoc="0" locked="0" layoutInCell="1" allowOverlap="1" wp14:anchorId="495539A7" wp14:editId="020EC914">
          <wp:simplePos x="0" y="0"/>
          <wp:positionH relativeFrom="margin">
            <wp:posOffset>3098800</wp:posOffset>
          </wp:positionH>
          <wp:positionV relativeFrom="paragraph">
            <wp:posOffset>-1190625</wp:posOffset>
          </wp:positionV>
          <wp:extent cx="3380817" cy="974766"/>
          <wp:effectExtent l="0" t="0" r="0" b="0"/>
          <wp:wrapNone/>
          <wp:docPr id="36" name="Picture 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80817" cy="974766"/>
                  </a:xfrm>
                  <a:prstGeom prst="rect">
                    <a:avLst/>
                  </a:prstGeom>
                  <a:noFill/>
                  <a:ln>
                    <a:noFill/>
                  </a:ln>
                </pic:spPr>
              </pic:pic>
            </a:graphicData>
          </a:graphic>
          <wp14:sizeRelH relativeFrom="page">
            <wp14:pctWidth>0</wp14:pctWidth>
          </wp14:sizeRelH>
          <wp14:sizeRelV relativeFrom="page">
            <wp14:pctHeight>0</wp14:pctHeight>
          </wp14:sizeRelV>
        </wp:anchor>
      </w:drawing>
    </w:r>
    <w:r w:rsidR="006D32CD">
      <w:rPr>
        <w:color w:val="173F35" w:themeColor="accent1"/>
        <w:sz w:val="14"/>
        <w:szCs w:val="14"/>
      </w:rPr>
      <w:t>Visitor Ec</w:t>
    </w:r>
    <w:r w:rsidR="0030596E">
      <w:rPr>
        <w:color w:val="173F35" w:themeColor="accent1"/>
        <w:sz w:val="14"/>
        <w:szCs w:val="14"/>
      </w:rPr>
      <w:t>onomy Workforce and Skills Interim Action Pla</w:t>
    </w:r>
    <w:r w:rsidR="00BA2436">
      <w:rPr>
        <w:color w:val="173F35" w:themeColor="accent1"/>
        <w:sz w:val="14"/>
        <w:szCs w:val="14"/>
      </w:rPr>
      <w:t>n – 2023-24</w:t>
    </w:r>
    <w:r w:rsidR="004767E6" w:rsidRPr="003D0704">
      <w:rPr>
        <w:color w:val="173F35" w:themeColor="accent1"/>
        <w:sz w:val="14"/>
        <w:szCs w:val="14"/>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015644" w14:textId="77777777" w:rsidR="00971722" w:rsidRPr="003D0704" w:rsidRDefault="00971722" w:rsidP="003D0704">
    <w:pPr>
      <w:pStyle w:val="Footer"/>
      <w:tabs>
        <w:tab w:val="clear" w:pos="4513"/>
        <w:tab w:val="clear" w:pos="9026"/>
        <w:tab w:val="right" w:pos="9923"/>
      </w:tabs>
      <w:spacing w:before="0"/>
      <w:rPr>
        <w:color w:val="173F35" w:themeColor="accent1"/>
        <w:sz w:val="14"/>
        <w:szCs w:val="14"/>
      </w:rPr>
    </w:pPr>
    <w:r w:rsidRPr="003D0704">
      <w:rPr>
        <w:noProof/>
        <w:color w:val="173F35" w:themeColor="accent1"/>
        <w:sz w:val="14"/>
        <w:szCs w:val="14"/>
        <w:lang w:eastAsia="en-AU"/>
      </w:rPr>
      <mc:AlternateContent>
        <mc:Choice Requires="wps">
          <w:drawing>
            <wp:anchor distT="0" distB="0" distL="114300" distR="114300" simplePos="0" relativeHeight="251658242" behindDoc="0" locked="0" layoutInCell="1" allowOverlap="1" wp14:anchorId="0E5743EE" wp14:editId="1E031F03">
              <wp:simplePos x="0" y="0"/>
              <wp:positionH relativeFrom="column">
                <wp:posOffset>-25400</wp:posOffset>
              </wp:positionH>
              <wp:positionV relativeFrom="paragraph">
                <wp:posOffset>10697</wp:posOffset>
              </wp:positionV>
              <wp:extent cx="9550800" cy="0"/>
              <wp:effectExtent l="0" t="0" r="0" b="0"/>
              <wp:wrapNone/>
              <wp:docPr id="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9550800" cy="0"/>
                      </a:xfrm>
                      <a:prstGeom prst="line">
                        <a:avLst/>
                      </a:prstGeom>
                      <a:ln w="19050">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7E1BF631" id="Straight Connector 1" o:spid="_x0000_s1026" alt="&quot;&quot;" style="position:absolute;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85pt" to="750.0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" strokecolor="#173f35 [3204]" strokeweight="1.5pt">
              <v:stroke joinstyle="miter"/>
            </v:line>
          </w:pict>
        </mc:Fallback>
      </mc:AlternateContent>
    </w:r>
    <w:r>
      <w:rPr>
        <w:color w:val="173F35" w:themeColor="accent1"/>
        <w:sz w:val="14"/>
        <w:szCs w:val="14"/>
      </w:rPr>
      <w:t>Visitor Economy Workforce and Skills Interim Action Plan – 2023-24</w:t>
    </w:r>
    <w:r>
      <w:rPr>
        <w:color w:val="173F35" w:themeColor="accent1"/>
        <w:sz w:val="14"/>
        <w:szCs w:val="14"/>
      </w:rPr>
      <w:tab/>
    </w:r>
    <w:r>
      <w:rPr>
        <w:color w:val="173F35" w:themeColor="accent1"/>
        <w:sz w:val="14"/>
        <w:szCs w:val="14"/>
      </w:rPr>
      <w:ptab w:relativeTo="margin" w:alignment="right" w:leader="none"/>
    </w:r>
    <w:r>
      <w:rPr>
        <w:color w:val="173F35" w:themeColor="accent1"/>
        <w:sz w:val="14"/>
        <w:szCs w:val="14"/>
      </w:rPr>
      <w:fldChar w:fldCharType="begin"/>
    </w:r>
    <w:r>
      <w:rPr>
        <w:color w:val="173F35" w:themeColor="accent1"/>
        <w:sz w:val="14"/>
        <w:szCs w:val="14"/>
      </w:rPr>
      <w:instrText xml:space="preserve"> PAGE   \* MERGEFORMAT </w:instrText>
    </w:r>
    <w:r>
      <w:rPr>
        <w:color w:val="173F35" w:themeColor="accent1"/>
        <w:sz w:val="14"/>
        <w:szCs w:val="14"/>
      </w:rPr>
      <w:fldChar w:fldCharType="separate"/>
    </w:r>
    <w:r>
      <w:rPr>
        <w:noProof/>
        <w:color w:val="173F35" w:themeColor="accent1"/>
        <w:sz w:val="14"/>
        <w:szCs w:val="14"/>
      </w:rPr>
      <w:t>1</w:t>
    </w:r>
    <w:r>
      <w:rPr>
        <w:color w:val="173F35" w:themeColor="accent1"/>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9C3B41" w14:textId="77777777" w:rsidR="00174662" w:rsidRDefault="00174662" w:rsidP="007B0021">
      <w:r>
        <w:separator/>
      </w:r>
    </w:p>
    <w:p w14:paraId="4D9A125E" w14:textId="77777777" w:rsidR="00174662" w:rsidRDefault="00174662" w:rsidP="007B0021"/>
  </w:footnote>
  <w:footnote w:type="continuationSeparator" w:id="0">
    <w:p w14:paraId="0CCF0692" w14:textId="77777777" w:rsidR="00174662" w:rsidRDefault="00174662" w:rsidP="007B0021">
      <w:r>
        <w:continuationSeparator/>
      </w:r>
    </w:p>
    <w:p w14:paraId="7D3BCC1A" w14:textId="77777777" w:rsidR="00174662" w:rsidRDefault="00174662" w:rsidP="007B0021"/>
  </w:footnote>
  <w:footnote w:type="continuationNotice" w:id="1">
    <w:p w14:paraId="200CACAC" w14:textId="77777777" w:rsidR="00174662" w:rsidRDefault="00174662">
      <w:pPr>
        <w:spacing w:before="0" w:after="0" w:line="240" w:lineRule="auto"/>
      </w:pPr>
    </w:p>
  </w:footnote>
  <w:footnote w:id="2">
    <w:p w14:paraId="5790126D" w14:textId="77777777" w:rsidR="0074772A" w:rsidRDefault="0074772A" w:rsidP="0074772A">
      <w:pPr>
        <w:pStyle w:val="FootnoteText"/>
      </w:pPr>
      <w:r w:rsidRPr="5CA585A7">
        <w:rPr>
          <w:rStyle w:val="FootnoteReference"/>
        </w:rPr>
        <w:footnoteRef/>
      </w:r>
      <w:r>
        <w:t xml:space="preserve"> </w:t>
      </w:r>
      <w:hyperlink r:id="rId1" w:history="1">
        <w:r w:rsidRPr="5CA585A7">
          <w:rPr>
            <w:rStyle w:val="Hyperlink"/>
            <w:i/>
            <w:iCs/>
          </w:rPr>
          <w:t>Tourism and Hospitality Workforce Development Strategy</w:t>
        </w:r>
      </w:hyperlink>
      <w:r>
        <w:t>, Tourism Training Australia &amp; Australian Chamber of Commerce and Industry (ACCI) – Tourism, 2021</w:t>
      </w:r>
    </w:p>
  </w:footnote>
  <w:footnote w:id="3">
    <w:p w14:paraId="62D50174" w14:textId="77777777" w:rsidR="0074772A" w:rsidRDefault="0074772A" w:rsidP="0074772A">
      <w:pPr>
        <w:pStyle w:val="FootnoteText"/>
        <w:rPr>
          <w:i/>
          <w:iCs/>
        </w:rPr>
      </w:pPr>
      <w:r w:rsidRPr="56EF92B6">
        <w:rPr>
          <w:rStyle w:val="FootnoteReference"/>
        </w:rPr>
        <w:footnoteRef/>
      </w:r>
      <w:r>
        <w:t xml:space="preserve"> </w:t>
      </w:r>
      <w:r w:rsidRPr="56EF92B6">
        <w:rPr>
          <w:i/>
          <w:iCs/>
        </w:rPr>
        <w:t>Quarterly Tourism Labour Statistics – December 2022,</w:t>
      </w:r>
      <w:r w:rsidRPr="56EF92B6">
        <w:t xml:space="preserve"> TRA analysis of ABS data release</w:t>
      </w:r>
    </w:p>
  </w:footnote>
  <w:footnote w:id="4">
    <w:p w14:paraId="3A45E42E" w14:textId="77777777" w:rsidR="0074772A" w:rsidRDefault="0074772A" w:rsidP="0074772A">
      <w:pPr>
        <w:pStyle w:val="FootnoteText"/>
      </w:pPr>
      <w:r w:rsidRPr="56EF92B6">
        <w:rPr>
          <w:rStyle w:val="FootnoteReference"/>
        </w:rPr>
        <w:footnoteRef/>
      </w:r>
      <w:r>
        <w:t xml:space="preserve"> </w:t>
      </w:r>
      <w:r w:rsidRPr="005B07AF">
        <w:rPr>
          <w:i/>
          <w:iCs/>
        </w:rPr>
        <w:t>Quarterly Tourism Labour Statistics – December 2022</w:t>
      </w:r>
      <w:r>
        <w:t>, TRA summary of ABS data release</w:t>
      </w:r>
    </w:p>
  </w:footnote>
  <w:footnote w:id="5">
    <w:p w14:paraId="6C808BA7" w14:textId="77777777" w:rsidR="0074772A" w:rsidRDefault="0074772A" w:rsidP="0074772A">
      <w:pPr>
        <w:pStyle w:val="FootnoteText"/>
      </w:pPr>
      <w:r w:rsidRPr="0A775CA7">
        <w:rPr>
          <w:rStyle w:val="FootnoteReference"/>
        </w:rPr>
        <w:footnoteRef/>
      </w:r>
      <w:r>
        <w:t xml:space="preserve"> </w:t>
      </w:r>
      <w:r w:rsidRPr="0A775CA7">
        <w:rPr>
          <w:i/>
          <w:iCs/>
        </w:rPr>
        <w:t xml:space="preserve">Reimagining the Visitor Economy – Expert Panel Report – </w:t>
      </w:r>
      <w:r w:rsidRPr="0A775CA7">
        <w:t>A report from the Hon Martin Ferguson AM, September 2021</w:t>
      </w:r>
    </w:p>
  </w:footnote>
  <w:footnote w:id="6">
    <w:p w14:paraId="63AEE5E2" w14:textId="77777777" w:rsidR="00FB790F" w:rsidRDefault="00FB790F" w:rsidP="00FB790F">
      <w:pPr>
        <w:pStyle w:val="FootnoteText"/>
      </w:pPr>
      <w:r>
        <w:rPr>
          <w:rStyle w:val="FootnoteReference"/>
        </w:rPr>
        <w:footnoteRef/>
      </w:r>
      <w:r>
        <w:t xml:space="preserve"> </w:t>
      </w:r>
      <w:r w:rsidRPr="0A775CA7">
        <w:rPr>
          <w:i/>
          <w:iCs/>
        </w:rPr>
        <w:t xml:space="preserve">Reimagining the Visitor Economy – Expert Panel Report – </w:t>
      </w:r>
      <w:r w:rsidRPr="0A775CA7">
        <w:t>A report from the Hon Martin Ferguson AM, September 2021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D5464E" w14:textId="77777777" w:rsidR="00B73BD8" w:rsidRDefault="00B73B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FA706E" w14:textId="3E8B418D" w:rsidR="003C3B0A" w:rsidRDefault="003C3B0A" w:rsidP="007B0021">
    <w:pPr>
      <w:pStyle w:val="Header"/>
    </w:pPr>
  </w:p>
  <w:p w14:paraId="49B802A7" w14:textId="77777777" w:rsidR="00D871C3" w:rsidRDefault="005860F8" w:rsidP="007B0021">
    <w:r>
      <w:rPr>
        <w:noProof/>
        <w:lang w:eastAsia="en-AU"/>
      </w:rPr>
      <w:drawing>
        <wp:inline distT="0" distB="0" distL="0" distR="0" wp14:anchorId="4CEA55CE" wp14:editId="66D75850">
          <wp:extent cx="2171700" cy="227965"/>
          <wp:effectExtent l="0" t="0" r="0" b="635"/>
          <wp:docPr id="35" name="Picture 35" descr="Country -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descr="Country - Austral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1700" cy="22796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46AEE3BC"/>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C892374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A5A4446"/>
    <w:multiLevelType w:val="hybridMultilevel"/>
    <w:tmpl w:val="F4D08B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ABC07F4"/>
    <w:multiLevelType w:val="hybridMultilevel"/>
    <w:tmpl w:val="775224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4FB26B0"/>
    <w:multiLevelType w:val="hybridMultilevel"/>
    <w:tmpl w:val="21A89E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32E5D8C"/>
    <w:multiLevelType w:val="hybridMultilevel"/>
    <w:tmpl w:val="ED6AA2E8"/>
    <w:lvl w:ilvl="0" w:tplc="B9403C7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385410A"/>
    <w:multiLevelType w:val="hybridMultilevel"/>
    <w:tmpl w:val="A1C80EDE"/>
    <w:lvl w:ilvl="0" w:tplc="0C090001">
      <w:start w:val="1"/>
      <w:numFmt w:val="bullet"/>
      <w:lvlText w:val=""/>
      <w:lvlJc w:val="left"/>
      <w:pPr>
        <w:ind w:left="795" w:hanging="360"/>
      </w:pPr>
      <w:rPr>
        <w:rFonts w:ascii="Symbol" w:hAnsi="Symbol" w:hint="default"/>
      </w:rPr>
    </w:lvl>
    <w:lvl w:ilvl="1" w:tplc="0C090003" w:tentative="1">
      <w:start w:val="1"/>
      <w:numFmt w:val="bullet"/>
      <w:lvlText w:val="o"/>
      <w:lvlJc w:val="left"/>
      <w:pPr>
        <w:ind w:left="1515" w:hanging="360"/>
      </w:pPr>
      <w:rPr>
        <w:rFonts w:ascii="Courier New" w:hAnsi="Courier New" w:cs="Courier New" w:hint="default"/>
      </w:rPr>
    </w:lvl>
    <w:lvl w:ilvl="2" w:tplc="0C090005" w:tentative="1">
      <w:start w:val="1"/>
      <w:numFmt w:val="bullet"/>
      <w:lvlText w:val=""/>
      <w:lvlJc w:val="left"/>
      <w:pPr>
        <w:ind w:left="2235" w:hanging="360"/>
      </w:pPr>
      <w:rPr>
        <w:rFonts w:ascii="Wingdings" w:hAnsi="Wingdings" w:hint="default"/>
      </w:rPr>
    </w:lvl>
    <w:lvl w:ilvl="3" w:tplc="0C090001" w:tentative="1">
      <w:start w:val="1"/>
      <w:numFmt w:val="bullet"/>
      <w:lvlText w:val=""/>
      <w:lvlJc w:val="left"/>
      <w:pPr>
        <w:ind w:left="2955" w:hanging="360"/>
      </w:pPr>
      <w:rPr>
        <w:rFonts w:ascii="Symbol" w:hAnsi="Symbol" w:hint="default"/>
      </w:rPr>
    </w:lvl>
    <w:lvl w:ilvl="4" w:tplc="0C090003" w:tentative="1">
      <w:start w:val="1"/>
      <w:numFmt w:val="bullet"/>
      <w:lvlText w:val="o"/>
      <w:lvlJc w:val="left"/>
      <w:pPr>
        <w:ind w:left="3675" w:hanging="360"/>
      </w:pPr>
      <w:rPr>
        <w:rFonts w:ascii="Courier New" w:hAnsi="Courier New" w:cs="Courier New" w:hint="default"/>
      </w:rPr>
    </w:lvl>
    <w:lvl w:ilvl="5" w:tplc="0C090005" w:tentative="1">
      <w:start w:val="1"/>
      <w:numFmt w:val="bullet"/>
      <w:lvlText w:val=""/>
      <w:lvlJc w:val="left"/>
      <w:pPr>
        <w:ind w:left="4395" w:hanging="360"/>
      </w:pPr>
      <w:rPr>
        <w:rFonts w:ascii="Wingdings" w:hAnsi="Wingdings" w:hint="default"/>
      </w:rPr>
    </w:lvl>
    <w:lvl w:ilvl="6" w:tplc="0C090001" w:tentative="1">
      <w:start w:val="1"/>
      <w:numFmt w:val="bullet"/>
      <w:lvlText w:val=""/>
      <w:lvlJc w:val="left"/>
      <w:pPr>
        <w:ind w:left="5115" w:hanging="360"/>
      </w:pPr>
      <w:rPr>
        <w:rFonts w:ascii="Symbol" w:hAnsi="Symbol" w:hint="default"/>
      </w:rPr>
    </w:lvl>
    <w:lvl w:ilvl="7" w:tplc="0C090003" w:tentative="1">
      <w:start w:val="1"/>
      <w:numFmt w:val="bullet"/>
      <w:lvlText w:val="o"/>
      <w:lvlJc w:val="left"/>
      <w:pPr>
        <w:ind w:left="5835" w:hanging="360"/>
      </w:pPr>
      <w:rPr>
        <w:rFonts w:ascii="Courier New" w:hAnsi="Courier New" w:cs="Courier New" w:hint="default"/>
      </w:rPr>
    </w:lvl>
    <w:lvl w:ilvl="8" w:tplc="0C090005" w:tentative="1">
      <w:start w:val="1"/>
      <w:numFmt w:val="bullet"/>
      <w:lvlText w:val=""/>
      <w:lvlJc w:val="left"/>
      <w:pPr>
        <w:ind w:left="6555" w:hanging="360"/>
      </w:pPr>
      <w:rPr>
        <w:rFonts w:ascii="Wingdings" w:hAnsi="Wingdings" w:hint="default"/>
      </w:rPr>
    </w:lvl>
  </w:abstractNum>
  <w:abstractNum w:abstractNumId="7" w15:restartNumberingAfterBreak="0">
    <w:nsid w:val="35CD2DEF"/>
    <w:multiLevelType w:val="hybridMultilevel"/>
    <w:tmpl w:val="E2FECA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0D903CA"/>
    <w:multiLevelType w:val="hybridMultilevel"/>
    <w:tmpl w:val="92A2D2FE"/>
    <w:lvl w:ilvl="0" w:tplc="E74E47F4">
      <w:start w:val="1"/>
      <w:numFmt w:val="bullet"/>
      <w:pStyle w:val="BulletLis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439A3811"/>
    <w:multiLevelType w:val="multilevel"/>
    <w:tmpl w:val="3644276C"/>
    <w:lvl w:ilvl="0">
      <w:start w:val="1"/>
      <w:numFmt w:val="bullet"/>
      <w:lvlText w:val=""/>
      <w:lvlJc w:val="left"/>
      <w:pPr>
        <w:ind w:left="284" w:hanging="284"/>
      </w:pPr>
      <w:rPr>
        <w:rFonts w:ascii="Symbol" w:hAnsi="Symbol" w:hint="default"/>
        <w:color w:val="D8CC98" w:themeColor="background2"/>
      </w:rPr>
    </w:lvl>
    <w:lvl w:ilvl="1">
      <w:start w:val="1"/>
      <w:numFmt w:val="bullet"/>
      <w:lvlText w:val=""/>
      <w:lvlJc w:val="left"/>
      <w:pPr>
        <w:ind w:left="720" w:hanging="360"/>
      </w:pPr>
      <w:rPr>
        <w:rFonts w:ascii="Symbol" w:hAnsi="Symbol" w:hint="default"/>
      </w:rPr>
    </w:lvl>
    <w:lvl w:ilvl="2">
      <w:start w:val="1"/>
      <w:numFmt w:val="bullet"/>
      <w:lvlText w:val="–"/>
      <w:lvlJc w:val="left"/>
      <w:pPr>
        <w:ind w:left="852" w:hanging="284"/>
      </w:pPr>
      <w:rPr>
        <w:rFonts w:ascii="Calibri" w:hAnsi="Calibri" w:hint="default"/>
        <w:color w:val="D8CC98" w:themeColor="background2"/>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0" w15:restartNumberingAfterBreak="0">
    <w:nsid w:val="4D643664"/>
    <w:multiLevelType w:val="hybridMultilevel"/>
    <w:tmpl w:val="9FBC62F2"/>
    <w:lvl w:ilvl="0" w:tplc="354618DC">
      <w:start w:val="1"/>
      <w:numFmt w:val="decimal"/>
      <w:pStyle w:val="NumberedList"/>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23C0ED4"/>
    <w:multiLevelType w:val="hybridMultilevel"/>
    <w:tmpl w:val="FFFFFFFF"/>
    <w:lvl w:ilvl="0" w:tplc="B9403C72">
      <w:start w:val="1"/>
      <w:numFmt w:val="bullet"/>
      <w:lvlText w:val=""/>
      <w:lvlJc w:val="left"/>
      <w:pPr>
        <w:ind w:left="720" w:hanging="360"/>
      </w:pPr>
      <w:rPr>
        <w:rFonts w:ascii="Symbol" w:hAnsi="Symbol" w:hint="default"/>
      </w:rPr>
    </w:lvl>
    <w:lvl w:ilvl="1" w:tplc="716A6F96">
      <w:start w:val="1"/>
      <w:numFmt w:val="bullet"/>
      <w:lvlText w:val="o"/>
      <w:lvlJc w:val="left"/>
      <w:pPr>
        <w:ind w:left="1440" w:hanging="360"/>
      </w:pPr>
      <w:rPr>
        <w:rFonts w:ascii="Courier New" w:hAnsi="Courier New" w:hint="default"/>
      </w:rPr>
    </w:lvl>
    <w:lvl w:ilvl="2" w:tplc="4A368BBE">
      <w:start w:val="1"/>
      <w:numFmt w:val="bullet"/>
      <w:lvlText w:val=""/>
      <w:lvlJc w:val="left"/>
      <w:pPr>
        <w:ind w:left="2160" w:hanging="360"/>
      </w:pPr>
      <w:rPr>
        <w:rFonts w:ascii="Wingdings" w:hAnsi="Wingdings" w:hint="default"/>
      </w:rPr>
    </w:lvl>
    <w:lvl w:ilvl="3" w:tplc="7C74DC02">
      <w:start w:val="1"/>
      <w:numFmt w:val="bullet"/>
      <w:lvlText w:val=""/>
      <w:lvlJc w:val="left"/>
      <w:pPr>
        <w:ind w:left="2880" w:hanging="360"/>
      </w:pPr>
      <w:rPr>
        <w:rFonts w:ascii="Symbol" w:hAnsi="Symbol" w:hint="default"/>
      </w:rPr>
    </w:lvl>
    <w:lvl w:ilvl="4" w:tplc="BDCA6264">
      <w:start w:val="1"/>
      <w:numFmt w:val="bullet"/>
      <w:lvlText w:val="o"/>
      <w:lvlJc w:val="left"/>
      <w:pPr>
        <w:ind w:left="3600" w:hanging="360"/>
      </w:pPr>
      <w:rPr>
        <w:rFonts w:ascii="Courier New" w:hAnsi="Courier New" w:hint="default"/>
      </w:rPr>
    </w:lvl>
    <w:lvl w:ilvl="5" w:tplc="0C8EE3EA">
      <w:start w:val="1"/>
      <w:numFmt w:val="bullet"/>
      <w:lvlText w:val=""/>
      <w:lvlJc w:val="left"/>
      <w:pPr>
        <w:ind w:left="4320" w:hanging="360"/>
      </w:pPr>
      <w:rPr>
        <w:rFonts w:ascii="Wingdings" w:hAnsi="Wingdings" w:hint="default"/>
      </w:rPr>
    </w:lvl>
    <w:lvl w:ilvl="6" w:tplc="474A4D9C">
      <w:start w:val="1"/>
      <w:numFmt w:val="bullet"/>
      <w:lvlText w:val=""/>
      <w:lvlJc w:val="left"/>
      <w:pPr>
        <w:ind w:left="5040" w:hanging="360"/>
      </w:pPr>
      <w:rPr>
        <w:rFonts w:ascii="Symbol" w:hAnsi="Symbol" w:hint="default"/>
      </w:rPr>
    </w:lvl>
    <w:lvl w:ilvl="7" w:tplc="CBA28B4E">
      <w:start w:val="1"/>
      <w:numFmt w:val="bullet"/>
      <w:lvlText w:val="o"/>
      <w:lvlJc w:val="left"/>
      <w:pPr>
        <w:ind w:left="5760" w:hanging="360"/>
      </w:pPr>
      <w:rPr>
        <w:rFonts w:ascii="Courier New" w:hAnsi="Courier New" w:hint="default"/>
      </w:rPr>
    </w:lvl>
    <w:lvl w:ilvl="8" w:tplc="A8B0E446">
      <w:start w:val="1"/>
      <w:numFmt w:val="bullet"/>
      <w:lvlText w:val=""/>
      <w:lvlJc w:val="left"/>
      <w:pPr>
        <w:ind w:left="6480" w:hanging="360"/>
      </w:pPr>
      <w:rPr>
        <w:rFonts w:ascii="Wingdings" w:hAnsi="Wingdings" w:hint="default"/>
      </w:rPr>
    </w:lvl>
  </w:abstractNum>
  <w:abstractNum w:abstractNumId="12" w15:restartNumberingAfterBreak="0">
    <w:nsid w:val="65E263E5"/>
    <w:multiLevelType w:val="hybridMultilevel"/>
    <w:tmpl w:val="3EA805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B545667"/>
    <w:multiLevelType w:val="hybridMultilevel"/>
    <w:tmpl w:val="DDEC5C5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748764986">
    <w:abstractNumId w:val="8"/>
  </w:num>
  <w:num w:numId="2" w16cid:durableId="1645623767">
    <w:abstractNumId w:val="10"/>
  </w:num>
  <w:num w:numId="3" w16cid:durableId="659311322">
    <w:abstractNumId w:val="10"/>
    <w:lvlOverride w:ilvl="0">
      <w:startOverride w:val="1"/>
    </w:lvlOverride>
  </w:num>
  <w:num w:numId="4" w16cid:durableId="1976719891">
    <w:abstractNumId w:val="10"/>
    <w:lvlOverride w:ilvl="0">
      <w:startOverride w:val="1"/>
    </w:lvlOverride>
  </w:num>
  <w:num w:numId="5" w16cid:durableId="41560702">
    <w:abstractNumId w:val="10"/>
    <w:lvlOverride w:ilvl="0">
      <w:startOverride w:val="1"/>
    </w:lvlOverride>
  </w:num>
  <w:num w:numId="6" w16cid:durableId="1447113973">
    <w:abstractNumId w:val="6"/>
  </w:num>
  <w:num w:numId="7" w16cid:durableId="788747430">
    <w:abstractNumId w:val="7"/>
  </w:num>
  <w:num w:numId="8" w16cid:durableId="919674588">
    <w:abstractNumId w:val="2"/>
  </w:num>
  <w:num w:numId="9" w16cid:durableId="227572572">
    <w:abstractNumId w:val="5"/>
  </w:num>
  <w:num w:numId="10" w16cid:durableId="1154832196">
    <w:abstractNumId w:val="4"/>
  </w:num>
  <w:num w:numId="11" w16cid:durableId="631136079">
    <w:abstractNumId w:val="12"/>
  </w:num>
  <w:num w:numId="12" w16cid:durableId="395125665">
    <w:abstractNumId w:val="11"/>
  </w:num>
  <w:num w:numId="13" w16cid:durableId="32577871">
    <w:abstractNumId w:val="1"/>
  </w:num>
  <w:num w:numId="14" w16cid:durableId="738408656">
    <w:abstractNumId w:val="9"/>
  </w:num>
  <w:num w:numId="15" w16cid:durableId="1291322874">
    <w:abstractNumId w:val="0"/>
  </w:num>
  <w:num w:numId="16" w16cid:durableId="1864242264">
    <w:abstractNumId w:val="13"/>
  </w:num>
  <w:num w:numId="17" w16cid:durableId="11294005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72A"/>
    <w:rsid w:val="00065DD7"/>
    <w:rsid w:val="00076A00"/>
    <w:rsid w:val="000812BB"/>
    <w:rsid w:val="00083A89"/>
    <w:rsid w:val="00095940"/>
    <w:rsid w:val="000B147F"/>
    <w:rsid w:val="000C3C04"/>
    <w:rsid w:val="000D5041"/>
    <w:rsid w:val="000E2E0F"/>
    <w:rsid w:val="000E7E86"/>
    <w:rsid w:val="00111E25"/>
    <w:rsid w:val="00117092"/>
    <w:rsid w:val="0012425F"/>
    <w:rsid w:val="00147D40"/>
    <w:rsid w:val="0015154D"/>
    <w:rsid w:val="00153697"/>
    <w:rsid w:val="001656EA"/>
    <w:rsid w:val="00174662"/>
    <w:rsid w:val="001E186F"/>
    <w:rsid w:val="001E2B98"/>
    <w:rsid w:val="001F6F99"/>
    <w:rsid w:val="00211255"/>
    <w:rsid w:val="00251164"/>
    <w:rsid w:val="00282C92"/>
    <w:rsid w:val="0028696F"/>
    <w:rsid w:val="0028711F"/>
    <w:rsid w:val="00291BFC"/>
    <w:rsid w:val="00291F28"/>
    <w:rsid w:val="002F3257"/>
    <w:rsid w:val="0030596E"/>
    <w:rsid w:val="003070E1"/>
    <w:rsid w:val="003132CA"/>
    <w:rsid w:val="00316B55"/>
    <w:rsid w:val="00321E47"/>
    <w:rsid w:val="00326B31"/>
    <w:rsid w:val="00335CEE"/>
    <w:rsid w:val="00340016"/>
    <w:rsid w:val="003533B3"/>
    <w:rsid w:val="00363160"/>
    <w:rsid w:val="0037497E"/>
    <w:rsid w:val="00382BFE"/>
    <w:rsid w:val="00383353"/>
    <w:rsid w:val="003A16D3"/>
    <w:rsid w:val="003C0AF2"/>
    <w:rsid w:val="003C3B0A"/>
    <w:rsid w:val="003D0704"/>
    <w:rsid w:val="003D6C92"/>
    <w:rsid w:val="003E38E3"/>
    <w:rsid w:val="003E5497"/>
    <w:rsid w:val="003F3FAC"/>
    <w:rsid w:val="0040252B"/>
    <w:rsid w:val="0043062E"/>
    <w:rsid w:val="0045192E"/>
    <w:rsid w:val="00454ED7"/>
    <w:rsid w:val="00460A41"/>
    <w:rsid w:val="004767E6"/>
    <w:rsid w:val="004D06AF"/>
    <w:rsid w:val="004D6F59"/>
    <w:rsid w:val="004E7ADE"/>
    <w:rsid w:val="00501469"/>
    <w:rsid w:val="005376E5"/>
    <w:rsid w:val="005402B3"/>
    <w:rsid w:val="00571BDC"/>
    <w:rsid w:val="005860F8"/>
    <w:rsid w:val="005A2072"/>
    <w:rsid w:val="00620C49"/>
    <w:rsid w:val="0065148D"/>
    <w:rsid w:val="006556D2"/>
    <w:rsid w:val="0066698F"/>
    <w:rsid w:val="00686B04"/>
    <w:rsid w:val="00694AAD"/>
    <w:rsid w:val="00696F9E"/>
    <w:rsid w:val="006D32CD"/>
    <w:rsid w:val="006D4E62"/>
    <w:rsid w:val="006E3FD9"/>
    <w:rsid w:val="006E5DC7"/>
    <w:rsid w:val="006F7525"/>
    <w:rsid w:val="00704702"/>
    <w:rsid w:val="00714FD2"/>
    <w:rsid w:val="0072076A"/>
    <w:rsid w:val="007319FB"/>
    <w:rsid w:val="007423CE"/>
    <w:rsid w:val="00743B72"/>
    <w:rsid w:val="007446F6"/>
    <w:rsid w:val="007454AB"/>
    <w:rsid w:val="0074772A"/>
    <w:rsid w:val="00774485"/>
    <w:rsid w:val="00780865"/>
    <w:rsid w:val="0078435A"/>
    <w:rsid w:val="007974D9"/>
    <w:rsid w:val="007A0FC3"/>
    <w:rsid w:val="007A3AFB"/>
    <w:rsid w:val="007B0021"/>
    <w:rsid w:val="007B5347"/>
    <w:rsid w:val="007C3BFD"/>
    <w:rsid w:val="007C6F65"/>
    <w:rsid w:val="007D3BC5"/>
    <w:rsid w:val="008267F2"/>
    <w:rsid w:val="0085000B"/>
    <w:rsid w:val="00861632"/>
    <w:rsid w:val="00865233"/>
    <w:rsid w:val="00872FB1"/>
    <w:rsid w:val="00885FFE"/>
    <w:rsid w:val="00894939"/>
    <w:rsid w:val="008A5EFE"/>
    <w:rsid w:val="008E5AAB"/>
    <w:rsid w:val="008E7B88"/>
    <w:rsid w:val="008F67F3"/>
    <w:rsid w:val="00914C33"/>
    <w:rsid w:val="00931603"/>
    <w:rsid w:val="00935AF1"/>
    <w:rsid w:val="0094463A"/>
    <w:rsid w:val="00965A53"/>
    <w:rsid w:val="0096640D"/>
    <w:rsid w:val="00971722"/>
    <w:rsid w:val="0098379B"/>
    <w:rsid w:val="00992126"/>
    <w:rsid w:val="009973CF"/>
    <w:rsid w:val="009D6B24"/>
    <w:rsid w:val="009E1D4B"/>
    <w:rsid w:val="00A45A3E"/>
    <w:rsid w:val="00A63941"/>
    <w:rsid w:val="00A70946"/>
    <w:rsid w:val="00A86927"/>
    <w:rsid w:val="00AA390C"/>
    <w:rsid w:val="00AB208D"/>
    <w:rsid w:val="00AC0F96"/>
    <w:rsid w:val="00AD6A36"/>
    <w:rsid w:val="00AE011B"/>
    <w:rsid w:val="00AE3D08"/>
    <w:rsid w:val="00AE5F9F"/>
    <w:rsid w:val="00B14567"/>
    <w:rsid w:val="00B16BF3"/>
    <w:rsid w:val="00B24BD5"/>
    <w:rsid w:val="00B34426"/>
    <w:rsid w:val="00B36206"/>
    <w:rsid w:val="00B3753A"/>
    <w:rsid w:val="00B73BD8"/>
    <w:rsid w:val="00B837C9"/>
    <w:rsid w:val="00B863D3"/>
    <w:rsid w:val="00B90282"/>
    <w:rsid w:val="00B95782"/>
    <w:rsid w:val="00BA2436"/>
    <w:rsid w:val="00BA5023"/>
    <w:rsid w:val="00BB4C47"/>
    <w:rsid w:val="00BC0320"/>
    <w:rsid w:val="00BD10E6"/>
    <w:rsid w:val="00BE1C64"/>
    <w:rsid w:val="00C51936"/>
    <w:rsid w:val="00C53859"/>
    <w:rsid w:val="00C84F0E"/>
    <w:rsid w:val="00CC32BA"/>
    <w:rsid w:val="00CD1BE3"/>
    <w:rsid w:val="00CD4085"/>
    <w:rsid w:val="00CF34C4"/>
    <w:rsid w:val="00CF4F9D"/>
    <w:rsid w:val="00D0391F"/>
    <w:rsid w:val="00D24AF4"/>
    <w:rsid w:val="00D31890"/>
    <w:rsid w:val="00D3643F"/>
    <w:rsid w:val="00D4084E"/>
    <w:rsid w:val="00D55592"/>
    <w:rsid w:val="00D569E2"/>
    <w:rsid w:val="00D61C43"/>
    <w:rsid w:val="00D871C3"/>
    <w:rsid w:val="00D8777C"/>
    <w:rsid w:val="00D919C8"/>
    <w:rsid w:val="00D9695E"/>
    <w:rsid w:val="00DB21A7"/>
    <w:rsid w:val="00DB477A"/>
    <w:rsid w:val="00DB7575"/>
    <w:rsid w:val="00DD4054"/>
    <w:rsid w:val="00DE1272"/>
    <w:rsid w:val="00E0496A"/>
    <w:rsid w:val="00E471C4"/>
    <w:rsid w:val="00E902C6"/>
    <w:rsid w:val="00EA4240"/>
    <w:rsid w:val="00F067C0"/>
    <w:rsid w:val="00F07802"/>
    <w:rsid w:val="00F16F61"/>
    <w:rsid w:val="00F250BA"/>
    <w:rsid w:val="00F40A8B"/>
    <w:rsid w:val="00F60079"/>
    <w:rsid w:val="00F67B34"/>
    <w:rsid w:val="00F85A20"/>
    <w:rsid w:val="00F90A73"/>
    <w:rsid w:val="00F961B1"/>
    <w:rsid w:val="00FB790F"/>
    <w:rsid w:val="00FC3BAA"/>
    <w:rsid w:val="00FC69BB"/>
    <w:rsid w:val="00FD4E2D"/>
    <w:rsid w:val="00FE7762"/>
    <w:rsid w:val="00FF5B0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978A1BC"/>
  <w15:docId w15:val="{25B08E3E-A5CB-492E-B1D5-A7C0A7513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Text"/>
    <w:qFormat/>
    <w:rsid w:val="007B0021"/>
    <w:pPr>
      <w:spacing w:before="200" w:after="200" w:line="300" w:lineRule="exact"/>
    </w:pPr>
    <w:rPr>
      <w:rFonts w:ascii="Verdana" w:hAnsi="Verdana"/>
      <w:color w:val="000000" w:themeColor="text1"/>
      <w:sz w:val="20"/>
      <w:szCs w:val="20"/>
    </w:rPr>
  </w:style>
  <w:style w:type="paragraph" w:styleId="Heading1">
    <w:name w:val="heading 1"/>
    <w:aliases w:val="PageHeader"/>
    <w:basedOn w:val="Normal"/>
    <w:next w:val="Normal"/>
    <w:link w:val="Heading1Char"/>
    <w:uiPriority w:val="9"/>
    <w:qFormat/>
    <w:rsid w:val="003E5497"/>
    <w:pPr>
      <w:spacing w:after="480" w:line="240" w:lineRule="auto"/>
      <w:outlineLvl w:val="0"/>
    </w:pPr>
    <w:rPr>
      <w:color w:val="173F35" w:themeColor="accent1"/>
      <w:sz w:val="48"/>
      <w:szCs w:val="48"/>
    </w:rPr>
  </w:style>
  <w:style w:type="paragraph" w:styleId="Heading2">
    <w:name w:val="heading 2"/>
    <w:aliases w:val="SubHeader2"/>
    <w:basedOn w:val="Normal"/>
    <w:next w:val="Normal"/>
    <w:link w:val="Heading2Char"/>
    <w:uiPriority w:val="9"/>
    <w:unhideWhenUsed/>
    <w:qFormat/>
    <w:rsid w:val="00A63941"/>
    <w:pPr>
      <w:outlineLvl w:val="1"/>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rsid w:val="003C3B0A"/>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3C3B0A"/>
    <w:rPr>
      <w:rFonts w:eastAsiaTheme="minorEastAsia"/>
      <w:lang w:val="en-US"/>
    </w:rPr>
  </w:style>
  <w:style w:type="paragraph" w:styleId="Header">
    <w:name w:val="header"/>
    <w:basedOn w:val="Normal"/>
    <w:link w:val="HeaderChar"/>
    <w:uiPriority w:val="99"/>
    <w:unhideWhenUsed/>
    <w:rsid w:val="003C3B0A"/>
    <w:pPr>
      <w:tabs>
        <w:tab w:val="center" w:pos="4513"/>
        <w:tab w:val="right" w:pos="9026"/>
      </w:tabs>
      <w:spacing w:after="0"/>
    </w:pPr>
  </w:style>
  <w:style w:type="character" w:customStyle="1" w:styleId="HeaderChar">
    <w:name w:val="Header Char"/>
    <w:basedOn w:val="DefaultParagraphFont"/>
    <w:link w:val="Header"/>
    <w:uiPriority w:val="99"/>
    <w:rsid w:val="003C3B0A"/>
  </w:style>
  <w:style w:type="paragraph" w:styleId="Footer">
    <w:name w:val="footer"/>
    <w:basedOn w:val="Normal"/>
    <w:link w:val="FooterChar"/>
    <w:uiPriority w:val="99"/>
    <w:unhideWhenUsed/>
    <w:rsid w:val="003C3B0A"/>
    <w:pPr>
      <w:tabs>
        <w:tab w:val="center" w:pos="4513"/>
        <w:tab w:val="right" w:pos="9026"/>
      </w:tabs>
      <w:spacing w:after="0"/>
    </w:pPr>
  </w:style>
  <w:style w:type="character" w:customStyle="1" w:styleId="FooterChar">
    <w:name w:val="Footer Char"/>
    <w:basedOn w:val="DefaultParagraphFont"/>
    <w:link w:val="Footer"/>
    <w:uiPriority w:val="99"/>
    <w:rsid w:val="003C3B0A"/>
  </w:style>
  <w:style w:type="character" w:customStyle="1" w:styleId="Heading1Char">
    <w:name w:val="Heading 1 Char"/>
    <w:aliases w:val="PageHeader Char"/>
    <w:basedOn w:val="DefaultParagraphFont"/>
    <w:link w:val="Heading1"/>
    <w:uiPriority w:val="9"/>
    <w:rsid w:val="003E5497"/>
    <w:rPr>
      <w:rFonts w:ascii="Verdana" w:hAnsi="Verdana"/>
      <w:color w:val="173F35" w:themeColor="accent1"/>
      <w:sz w:val="48"/>
      <w:szCs w:val="48"/>
    </w:rPr>
  </w:style>
  <w:style w:type="character" w:styleId="Strong">
    <w:name w:val="Strong"/>
    <w:aliases w:val="IntroCopy"/>
    <w:uiPriority w:val="22"/>
    <w:rsid w:val="00571BDC"/>
    <w:rPr>
      <w:color w:val="173F35" w:themeColor="accent1"/>
      <w:sz w:val="32"/>
      <w:szCs w:val="32"/>
      <w:lang w:val="pt-PT"/>
    </w:rPr>
  </w:style>
  <w:style w:type="paragraph" w:styleId="Title">
    <w:name w:val="Title"/>
    <w:aliases w:val="SubHeader1"/>
    <w:basedOn w:val="Normal"/>
    <w:next w:val="Normal"/>
    <w:link w:val="TitleChar"/>
    <w:uiPriority w:val="10"/>
    <w:qFormat/>
    <w:rsid w:val="00A63941"/>
    <w:pPr>
      <w:spacing w:before="600" w:line="420" w:lineRule="exact"/>
    </w:pPr>
    <w:rPr>
      <w:b/>
      <w:bCs/>
      <w:sz w:val="32"/>
      <w:szCs w:val="32"/>
    </w:rPr>
  </w:style>
  <w:style w:type="character" w:customStyle="1" w:styleId="TitleChar">
    <w:name w:val="Title Char"/>
    <w:aliases w:val="SubHeader1 Char"/>
    <w:basedOn w:val="DefaultParagraphFont"/>
    <w:link w:val="Title"/>
    <w:uiPriority w:val="10"/>
    <w:rsid w:val="00A63941"/>
    <w:rPr>
      <w:rFonts w:ascii="Verdana" w:hAnsi="Verdana"/>
      <w:b/>
      <w:bCs/>
      <w:color w:val="000000" w:themeColor="text1"/>
      <w:sz w:val="32"/>
      <w:szCs w:val="32"/>
    </w:rPr>
  </w:style>
  <w:style w:type="character" w:customStyle="1" w:styleId="Heading2Char">
    <w:name w:val="Heading 2 Char"/>
    <w:aliases w:val="SubHeader2 Char"/>
    <w:basedOn w:val="DefaultParagraphFont"/>
    <w:link w:val="Heading2"/>
    <w:uiPriority w:val="9"/>
    <w:rsid w:val="00A63941"/>
    <w:rPr>
      <w:rFonts w:ascii="Verdana" w:hAnsi="Verdana"/>
      <w:b/>
      <w:bCs/>
      <w:color w:val="000000" w:themeColor="text1"/>
    </w:rPr>
  </w:style>
  <w:style w:type="paragraph" w:styleId="ListParagraph">
    <w:name w:val="List Paragraph"/>
    <w:aliases w:val="A. List,CAB - List Bullet,List Bullet Cab,List Paragraph - bullets,Recommendation,L,Bullet point,Brief List Paragraph 1,Bullets,CV text,DDM Gen Text,Dot pt,F5 List Paragraph,List Paragraph1,List Paragraph11,List Paragraph111,1 heading"/>
    <w:basedOn w:val="Normal"/>
    <w:link w:val="ListParagraphChar"/>
    <w:uiPriority w:val="34"/>
    <w:qFormat/>
    <w:rsid w:val="00460A41"/>
    <w:pPr>
      <w:ind w:left="720"/>
      <w:contextualSpacing/>
    </w:pPr>
  </w:style>
  <w:style w:type="paragraph" w:customStyle="1" w:styleId="BulletList">
    <w:name w:val="BulletList"/>
    <w:basedOn w:val="ListParagraph"/>
    <w:qFormat/>
    <w:rsid w:val="00A63941"/>
    <w:pPr>
      <w:numPr>
        <w:numId w:val="1"/>
      </w:numPr>
      <w:spacing w:before="0"/>
      <w:ind w:left="284" w:hanging="284"/>
    </w:pPr>
  </w:style>
  <w:style w:type="paragraph" w:customStyle="1" w:styleId="NumberedList">
    <w:name w:val="NumberedList"/>
    <w:basedOn w:val="ListParagraph"/>
    <w:qFormat/>
    <w:rsid w:val="00A63941"/>
    <w:pPr>
      <w:numPr>
        <w:numId w:val="2"/>
      </w:numPr>
      <w:spacing w:before="0"/>
      <w:ind w:left="284" w:hanging="284"/>
    </w:pPr>
  </w:style>
  <w:style w:type="paragraph" w:styleId="Quote">
    <w:name w:val="Quote"/>
    <w:aliases w:val="LargeQuote"/>
    <w:basedOn w:val="Normal"/>
    <w:next w:val="Normal"/>
    <w:link w:val="QuoteChar"/>
    <w:uiPriority w:val="29"/>
    <w:qFormat/>
    <w:rsid w:val="00A70946"/>
    <w:pPr>
      <w:spacing w:after="240" w:line="380" w:lineRule="exact"/>
    </w:pPr>
    <w:rPr>
      <w:color w:val="173F35" w:themeColor="accent1"/>
      <w:sz w:val="28"/>
      <w:szCs w:val="28"/>
    </w:rPr>
  </w:style>
  <w:style w:type="character" w:customStyle="1" w:styleId="QuoteChar">
    <w:name w:val="Quote Char"/>
    <w:aliases w:val="LargeQuote Char"/>
    <w:basedOn w:val="DefaultParagraphFont"/>
    <w:link w:val="Quote"/>
    <w:uiPriority w:val="29"/>
    <w:rsid w:val="00A70946"/>
    <w:rPr>
      <w:rFonts w:ascii="Verdana" w:hAnsi="Verdana"/>
      <w:color w:val="173F35" w:themeColor="accent1"/>
      <w:sz w:val="28"/>
      <w:szCs w:val="28"/>
    </w:rPr>
  </w:style>
  <w:style w:type="paragraph" w:customStyle="1" w:styleId="QuoteSource">
    <w:name w:val="QuoteSource"/>
    <w:basedOn w:val="Normal"/>
    <w:qFormat/>
    <w:rsid w:val="003D0704"/>
    <w:pPr>
      <w:spacing w:before="60" w:after="60" w:line="240" w:lineRule="auto"/>
    </w:pPr>
    <w:rPr>
      <w:sz w:val="16"/>
      <w:szCs w:val="16"/>
    </w:rPr>
  </w:style>
  <w:style w:type="table" w:styleId="TableGrid">
    <w:name w:val="Table Grid"/>
    <w:basedOn w:val="TableNormal"/>
    <w:uiPriority w:val="39"/>
    <w:rsid w:val="00321E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mallQuote">
    <w:name w:val="SmallQuote"/>
    <w:basedOn w:val="QuoteSource"/>
    <w:qFormat/>
    <w:rsid w:val="00A70946"/>
    <w:pPr>
      <w:spacing w:before="200" w:after="240" w:line="320" w:lineRule="atLeast"/>
    </w:pPr>
    <w:rPr>
      <w:b/>
      <w:bCs/>
      <w:color w:val="173F35" w:themeColor="accent1"/>
      <w:sz w:val="22"/>
      <w:szCs w:val="22"/>
    </w:rPr>
  </w:style>
  <w:style w:type="paragraph" w:customStyle="1" w:styleId="LargeBox">
    <w:name w:val="LargeBox"/>
    <w:basedOn w:val="Normal"/>
    <w:rsid w:val="00DB21A7"/>
    <w:pPr>
      <w:framePr w:w="10206" w:hSpace="284" w:vSpace="284" w:wrap="around" w:vAnchor="text" w:hAnchor="text" w:y="1"/>
      <w:shd w:val="clear" w:color="auto" w:fill="173F35" w:themeFill="accent1"/>
      <w:spacing w:before="240"/>
      <w:ind w:left="284" w:hanging="284"/>
    </w:pPr>
    <w:rPr>
      <w:color w:val="FFFFFF" w:themeColor="background1"/>
      <w:sz w:val="28"/>
    </w:rPr>
  </w:style>
  <w:style w:type="paragraph" w:customStyle="1" w:styleId="SmallBox">
    <w:name w:val="SmallBox"/>
    <w:basedOn w:val="LargeBox"/>
    <w:rsid w:val="00147D40"/>
    <w:pPr>
      <w:framePr w:w="5103" w:wrap="around"/>
      <w:shd w:val="clear" w:color="auto" w:fill="1E988A" w:themeFill="accent4"/>
    </w:pPr>
    <w:rPr>
      <w:b/>
      <w:sz w:val="22"/>
    </w:rPr>
  </w:style>
  <w:style w:type="paragraph" w:customStyle="1" w:styleId="IntroCopy">
    <w:name w:val="Intro Copy"/>
    <w:basedOn w:val="Normal"/>
    <w:link w:val="IntroCopyChar"/>
    <w:qFormat/>
    <w:rsid w:val="00571BDC"/>
    <w:pPr>
      <w:spacing w:line="420" w:lineRule="exact"/>
    </w:pPr>
    <w:rPr>
      <w:color w:val="173F35" w:themeColor="accent1"/>
      <w:sz w:val="32"/>
      <w:szCs w:val="32"/>
    </w:rPr>
  </w:style>
  <w:style w:type="character" w:customStyle="1" w:styleId="IntroCopyChar">
    <w:name w:val="Intro Copy Char"/>
    <w:basedOn w:val="DefaultParagraphFont"/>
    <w:link w:val="IntroCopy"/>
    <w:rsid w:val="00571BDC"/>
    <w:rPr>
      <w:rFonts w:ascii="Verdana" w:hAnsi="Verdana"/>
      <w:color w:val="173F35" w:themeColor="accent1"/>
      <w:sz w:val="32"/>
      <w:szCs w:val="32"/>
    </w:rPr>
  </w:style>
  <w:style w:type="paragraph" w:customStyle="1" w:styleId="CoverPageHeader">
    <w:name w:val="CoverPage Header"/>
    <w:basedOn w:val="Title"/>
    <w:qFormat/>
    <w:rsid w:val="00C51936"/>
    <w:pPr>
      <w:spacing w:after="480" w:line="240" w:lineRule="auto"/>
    </w:pPr>
    <w:rPr>
      <w:color w:val="FFFFFF" w:themeColor="background1"/>
      <w:sz w:val="68"/>
      <w:szCs w:val="68"/>
    </w:rPr>
  </w:style>
  <w:style w:type="paragraph" w:customStyle="1" w:styleId="CoverPageSub1">
    <w:name w:val="CoverPage Sub1"/>
    <w:basedOn w:val="Normal"/>
    <w:qFormat/>
    <w:rsid w:val="006E5DC7"/>
    <w:pPr>
      <w:spacing w:line="240" w:lineRule="auto"/>
    </w:pPr>
    <w:rPr>
      <w:caps/>
      <w:color w:val="FFFFFF" w:themeColor="background1"/>
      <w:sz w:val="32"/>
      <w:szCs w:val="32"/>
    </w:rPr>
  </w:style>
  <w:style w:type="paragraph" w:styleId="FootnoteText">
    <w:name w:val="footnote text"/>
    <w:basedOn w:val="Normal"/>
    <w:link w:val="FootnoteTextChar"/>
    <w:uiPriority w:val="99"/>
    <w:unhideWhenUsed/>
    <w:rsid w:val="0074772A"/>
    <w:pPr>
      <w:tabs>
        <w:tab w:val="left" w:pos="142"/>
      </w:tabs>
      <w:spacing w:before="0" w:after="0" w:line="180" w:lineRule="exact"/>
      <w:ind w:left="142" w:hanging="142"/>
    </w:pPr>
    <w:rPr>
      <w:rFonts w:asciiTheme="minorHAnsi" w:eastAsiaTheme="minorEastAsia" w:hAnsiTheme="minorHAnsi"/>
      <w:color w:val="auto"/>
      <w:sz w:val="16"/>
      <w:lang w:eastAsia="zh-CN"/>
    </w:rPr>
  </w:style>
  <w:style w:type="character" w:customStyle="1" w:styleId="FootnoteTextChar">
    <w:name w:val="Footnote Text Char"/>
    <w:basedOn w:val="DefaultParagraphFont"/>
    <w:link w:val="FootnoteText"/>
    <w:uiPriority w:val="99"/>
    <w:rsid w:val="0074772A"/>
    <w:rPr>
      <w:rFonts w:eastAsiaTheme="minorEastAsia"/>
      <w:sz w:val="16"/>
      <w:szCs w:val="20"/>
      <w:lang w:eastAsia="zh-CN"/>
    </w:rPr>
  </w:style>
  <w:style w:type="character" w:styleId="FootnoteReference">
    <w:name w:val="footnote reference"/>
    <w:basedOn w:val="DefaultParagraphFont"/>
    <w:uiPriority w:val="99"/>
    <w:semiHidden/>
    <w:unhideWhenUsed/>
    <w:rsid w:val="0074772A"/>
    <w:rPr>
      <w:vertAlign w:val="superscript"/>
    </w:rPr>
  </w:style>
  <w:style w:type="character" w:styleId="Hyperlink">
    <w:name w:val="Hyperlink"/>
    <w:basedOn w:val="DefaultParagraphFont"/>
    <w:uiPriority w:val="99"/>
    <w:unhideWhenUsed/>
    <w:rsid w:val="0074772A"/>
    <w:rPr>
      <w:color w:val="173F35" w:themeColor="hyperlink"/>
      <w:u w:val="single"/>
    </w:rPr>
  </w:style>
  <w:style w:type="character" w:customStyle="1" w:styleId="ListParagraphChar">
    <w:name w:val="List Paragraph Char"/>
    <w:aliases w:val="A. List Char,CAB - List Bullet Char,List Bullet Cab Char,List Paragraph - bullets Char,Recommendation Char,L Char,Bullet point Char,Brief List Paragraph 1 Char,Bullets Char,CV text Char,DDM Gen Text Char,Dot pt Char,1 heading Char"/>
    <w:basedOn w:val="DefaultParagraphFont"/>
    <w:link w:val="ListParagraph"/>
    <w:uiPriority w:val="34"/>
    <w:locked/>
    <w:rsid w:val="00FB790F"/>
    <w:rPr>
      <w:rFonts w:ascii="Verdana" w:hAnsi="Verdana"/>
      <w:color w:val="000000" w:themeColor="text1"/>
      <w:sz w:val="20"/>
      <w:szCs w:val="20"/>
    </w:rPr>
  </w:style>
  <w:style w:type="paragraph" w:styleId="ListBullet">
    <w:name w:val="List Bullet"/>
    <w:basedOn w:val="Normal"/>
    <w:uiPriority w:val="99"/>
    <w:unhideWhenUsed/>
    <w:qFormat/>
    <w:rsid w:val="007B5347"/>
    <w:pPr>
      <w:numPr>
        <w:numId w:val="13"/>
      </w:numPr>
      <w:snapToGrid w:val="0"/>
      <w:spacing w:before="0" w:after="40" w:line="252" w:lineRule="auto"/>
    </w:pPr>
    <w:rPr>
      <w:rFonts w:asciiTheme="minorHAnsi" w:eastAsiaTheme="minorEastAsia" w:hAnsiTheme="minorHAnsi"/>
      <w:color w:val="auto"/>
      <w:lang w:eastAsia="zh-CN"/>
    </w:rPr>
  </w:style>
  <w:style w:type="paragraph" w:styleId="ListBullet2">
    <w:name w:val="List Bullet 2"/>
    <w:basedOn w:val="Normal"/>
    <w:uiPriority w:val="99"/>
    <w:unhideWhenUsed/>
    <w:qFormat/>
    <w:rsid w:val="007B5347"/>
    <w:pPr>
      <w:numPr>
        <w:numId w:val="15"/>
      </w:numPr>
      <w:snapToGrid w:val="0"/>
      <w:spacing w:before="0" w:after="40" w:line="252" w:lineRule="auto"/>
    </w:pPr>
    <w:rPr>
      <w:rFonts w:asciiTheme="minorHAnsi" w:eastAsiaTheme="minorEastAsia" w:hAnsiTheme="minorHAnsi"/>
      <w:color w:val="auto"/>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eader" Target="header2.xml"/><Relationship Id="rId26" Type="http://schemas.openxmlformats.org/officeDocument/2006/relationships/hyperlink" Target="https://www.parliament.wa.gov.au/publications/tabledpapers.nsf/displaypaper/4110201a8cd67a6e1741f7b1482586ce00099015/$file/201+(2021).pdf" TargetMode="External"/><Relationship Id="rId39" Type="http://schemas.openxmlformats.org/officeDocument/2006/relationships/footer" Target="footer4.xml"/><Relationship Id="rId21" Type="http://schemas.openxmlformats.org/officeDocument/2006/relationships/hyperlink" Target="https://www.tastourismandhospitalityjobs.com.au/" TargetMode="External"/><Relationship Id="rId34" Type="http://schemas.openxmlformats.org/officeDocument/2006/relationships/hyperlink" Target="https://www.tourismnt.com.au/system/files/uploads/files/2020/nt-tourism-industry-strategy-2030-full-report.pdf"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dtis.qld.gov.au/__data/assets/pdf_file/0003/1647120/22268-Towards-Tourism-2032-STRATEGY-WEB-.pdf" TargetMode="External"/><Relationship Id="rId29" Type="http://schemas.openxmlformats.org/officeDocument/2006/relationships/hyperlink" Target="https://www.tourismnt.com.au/system/files/uploads/files/2020/nt-tourism-industry-strategy-2030-full-report.pdf"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tourism.sa.gov.au/media/uxqnuv0l/satc-sa-tourism-workforce-directions-final-jan-22.pdf" TargetMode="External"/><Relationship Id="rId32" Type="http://schemas.openxmlformats.org/officeDocument/2006/relationships/hyperlink" Target="https://www.tourism.wa.gov.au/about-us/working-in-tourism/pages/work-in-tourism.aspx" TargetMode="External"/><Relationship Id="rId37" Type="http://schemas.openxmlformats.org/officeDocument/2006/relationships/hyperlink" Target="https://www.business.tas.gov.au/manage_a_business/employer_of_choice"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yperlink" Target="https://djsir.vic.gov.au/__data/assets/pdf_file/0010/2172079/Experience-Victoria-2033-web.pdf" TargetMode="External"/><Relationship Id="rId28" Type="http://schemas.openxmlformats.org/officeDocument/2006/relationships/hyperlink" Target="https://www.destinationnsw.com.au/wp-content/uploads/2020/12/nsw-ves-2030.pdf" TargetMode="External"/><Relationship Id="rId36" Type="http://schemas.openxmlformats.org/officeDocument/2006/relationships/hyperlink" Target="https://www.tourism.wa.gov.au/about-us/working-in-tourism/pages/get-into-tourism.aspx" TargetMode="Externa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hyperlink" Target="https://vxt.org.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djsir.vic.gov.au/__data/assets/pdf_file/0006/1987368/Visitor-Economy-Recovery-Reform-Plan.pdf" TargetMode="External"/><Relationship Id="rId27" Type="http://schemas.openxmlformats.org/officeDocument/2006/relationships/hyperlink" Target="https://tourism.sa.gov.au/media/uxqnuv0l/satc-sa-tourism-workforce-directions-final-jan-22.pdf" TargetMode="External"/><Relationship Id="rId30" Type="http://schemas.openxmlformats.org/officeDocument/2006/relationships/hyperlink" Target="https://tourism.act.gov.au/wp-content/uploads/2022/12/T2030-ACT-Tourism-Strategy-2023-2030.pdf" TargetMode="External"/><Relationship Id="rId35" Type="http://schemas.openxmlformats.org/officeDocument/2006/relationships/hyperlink" Target="https://www.tourism.wa.gov.au/about-us/working-in-tourism/pages/get-into-tourism.aspx"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footer" Target="footer2.xml"/><Relationship Id="rId25" Type="http://schemas.openxmlformats.org/officeDocument/2006/relationships/hyperlink" Target="https://www.dtis.qld.gov.au/__data/assets/pdf_file/0003/1647120/22268-Towards-Tourism-2032-STRATEGY-WEB-.pdf" TargetMode="External"/><Relationship Id="rId33" Type="http://schemas.openxmlformats.org/officeDocument/2006/relationships/hyperlink" Target="https://www.dtis.qld.gov.au/__data/assets/pdf_file/0003/1647120/22268-Towards-Tourism-2032-STRATEGY-WEB-.pdf" TargetMode="External"/><Relationship Id="rId38" Type="http://schemas.openxmlformats.org/officeDocument/2006/relationships/hyperlink" Target="https://www.australianchamber.com.au/our-policies/tourism/working-holiday-makers-initiative/"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s://static1.squarespace.com/static/5afd0eefb27e3965eeb362ff/t/61bfbcb05878c859e1473186/1639955639376/T%26H_Workforce_Strategy_DRAFT.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Austrade\Corporate%20Templates\Branded%20Templates\Nation%20Brand\Cover%20Green.dotx" TargetMode="External"/></Relationships>
</file>

<file path=word/theme/theme1.xml><?xml version="1.0" encoding="utf-8"?>
<a:theme xmlns:a="http://schemas.openxmlformats.org/drawingml/2006/main" name="Office Theme">
  <a:themeElements>
    <a:clrScheme name="Brand Australia_Word">
      <a:dk1>
        <a:srgbClr val="000000"/>
      </a:dk1>
      <a:lt1>
        <a:sysClr val="window" lastClr="FFFFFF"/>
      </a:lt1>
      <a:dk2>
        <a:srgbClr val="AEA99A"/>
      </a:dk2>
      <a:lt2>
        <a:srgbClr val="D8CC98"/>
      </a:lt2>
      <a:accent1>
        <a:srgbClr val="173F35"/>
      </a:accent1>
      <a:accent2>
        <a:srgbClr val="002316"/>
      </a:accent2>
      <a:accent3>
        <a:srgbClr val="216644"/>
      </a:accent3>
      <a:accent4>
        <a:srgbClr val="1E988A"/>
      </a:accent4>
      <a:accent5>
        <a:srgbClr val="CEB888"/>
      </a:accent5>
      <a:accent6>
        <a:srgbClr val="AA2C1C"/>
      </a:accent6>
      <a:hlink>
        <a:srgbClr val="173F35"/>
      </a:hlink>
      <a:folHlink>
        <a:srgbClr val="173F35"/>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965A10587E2F4B9C5CBC374F200124" ma:contentTypeVersion="16" ma:contentTypeDescription="Create a new document." ma:contentTypeScope="" ma:versionID="212bf57b342a48f2eb0a327d0a9c4034">
  <xsd:schema xmlns:xsd="http://www.w3.org/2001/XMLSchema" xmlns:xs="http://www.w3.org/2001/XMLSchema" xmlns:p="http://schemas.microsoft.com/office/2006/metadata/properties" xmlns:ns1="http://schemas.microsoft.com/sharepoint/v3" xmlns:ns2="95393cc2-3c37-4544-b041-29172f73605b" xmlns:ns3="ec2472de-ddbe-426b-b482-e7ddac910fb3" targetNamespace="http://schemas.microsoft.com/office/2006/metadata/properties" ma:root="true" ma:fieldsID="d706ff6e3281970f260ee1e1e787ddf1" ns1:_="" ns2:_="" ns3:_="">
    <xsd:import namespace="http://schemas.microsoft.com/sharepoint/v3"/>
    <xsd:import namespace="95393cc2-3c37-4544-b041-29172f73605b"/>
    <xsd:import namespace="ec2472de-ddbe-426b-b482-e7ddac910fb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1:_ip_UnifiedCompliancePolicyProperties" minOccurs="0"/>
                <xsd:element ref="ns1:_ip_UnifiedCompliancePolicyUIAc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393cc2-3c37-4544-b041-29172f7360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f735d107-6f3a-4882-a73a-9dce38ae0c61"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2472de-ddbe-426b-b482-e7ddac910fb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d2f68e8-010b-4d0f-b50c-528e0d0fa449}" ma:internalName="TaxCatchAll" ma:showField="CatchAllData" ma:web="ec2472de-ddbe-426b-b482-e7ddac910fb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95393cc2-3c37-4544-b041-29172f73605b">
      <Terms xmlns="http://schemas.microsoft.com/office/infopath/2007/PartnerControls"/>
    </lcf76f155ced4ddcb4097134ff3c332f>
    <_ip_UnifiedCompliancePolicyProperties xmlns="http://schemas.microsoft.com/sharepoint/v3" xsi:nil="true"/>
    <TaxCatchAll xmlns="ec2472de-ddbe-426b-b482-e7ddac910fb3" xsi:nil="true"/>
  </documentManagement>
</p:properties>
</file>

<file path=customXml/itemProps1.xml><?xml version="1.0" encoding="utf-8"?>
<ds:datastoreItem xmlns:ds="http://schemas.openxmlformats.org/officeDocument/2006/customXml" ds:itemID="{250E4970-25AD-4C83-865C-BC5CD852D8AA}"/>
</file>

<file path=customXml/itemProps2.xml><?xml version="1.0" encoding="utf-8"?>
<ds:datastoreItem xmlns:ds="http://schemas.openxmlformats.org/officeDocument/2006/customXml" ds:itemID="{5217804B-80E7-4BE6-BB94-3C9271A25768}">
  <ds:schemaRefs>
    <ds:schemaRef ds:uri="http://schemas.openxmlformats.org/officeDocument/2006/bibliography"/>
  </ds:schemaRefs>
</ds:datastoreItem>
</file>

<file path=customXml/itemProps3.xml><?xml version="1.0" encoding="utf-8"?>
<ds:datastoreItem xmlns:ds="http://schemas.openxmlformats.org/officeDocument/2006/customXml" ds:itemID="{7649D49E-528E-4D5C-96CD-3C87BF9DCFAA}">
  <ds:schemaRefs>
    <ds:schemaRef ds:uri="http://schemas.microsoft.com/sharepoint/v3/contenttype/forms"/>
  </ds:schemaRefs>
</ds:datastoreItem>
</file>

<file path=customXml/itemProps4.xml><?xml version="1.0" encoding="utf-8"?>
<ds:datastoreItem xmlns:ds="http://schemas.openxmlformats.org/officeDocument/2006/customXml" ds:itemID="{18C57EB1-58C5-4810-BC53-834AA33562BD}">
  <ds:schemaRefs>
    <ds:schemaRef ds:uri="http://schemas.openxmlformats.org/package/2006/metadata/core-properties"/>
    <ds:schemaRef ds:uri="http://purl.org/dc/elements/1.1/"/>
    <ds:schemaRef ds:uri="ec2472de-ddbe-426b-b482-e7ddac910fb3"/>
    <ds:schemaRef ds:uri="http://purl.org/dc/dcmitype/"/>
    <ds:schemaRef ds:uri="http://purl.org/dc/terms/"/>
    <ds:schemaRef ds:uri="http://schemas.microsoft.com/office/2006/documentManagement/types"/>
    <ds:schemaRef ds:uri="http://schemas.microsoft.com/office/infopath/2007/PartnerControls"/>
    <ds:schemaRef ds:uri="http://www.w3.org/XML/1998/namespace"/>
    <ds:schemaRef ds:uri="95393cc2-3c37-4544-b041-29172f73605b"/>
    <ds:schemaRef ds:uri="http://schemas.microsoft.com/sharepoint/v3"/>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Cover Green.dotx</Template>
  <TotalTime>215</TotalTime>
  <Pages>1</Pages>
  <Words>5062</Words>
  <Characters>28855</Characters>
  <Application>Microsoft Office Word</Application>
  <DocSecurity>4</DocSecurity>
  <Lines>240</Lines>
  <Paragraphs>67</Paragraphs>
  <ScaleCrop>false</ScaleCrop>
  <HeadingPairs>
    <vt:vector size="2" baseType="variant">
      <vt:variant>
        <vt:lpstr>Title</vt:lpstr>
      </vt:variant>
      <vt:variant>
        <vt:i4>1</vt:i4>
      </vt:variant>
    </vt:vector>
  </HeadingPairs>
  <TitlesOfParts>
    <vt:vector size="1" baseType="lpstr">
      <vt:lpstr>Visitor Economy Workforce and Skills Interim Action Plan</vt:lpstr>
    </vt:vector>
  </TitlesOfParts>
  <Company>Austrade</Company>
  <LinksUpToDate>false</LinksUpToDate>
  <CharactersWithSpaces>33850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Visitor Economy Workforce and Skills Interim Action Plan</dc:title>
  <dc:subject/>
  <dc:creator>Grace-Maynard [Melbourne]</dc:creator>
  <cp:keywords/>
  <dc:description/>
  <cp:lastModifiedBy>Grace-Maynard [Melbourne]</cp:lastModifiedBy>
  <cp:revision>54</cp:revision>
  <dcterms:created xsi:type="dcterms:W3CDTF">2023-06-27T14:44:00Z</dcterms:created>
  <dcterms:modified xsi:type="dcterms:W3CDTF">2023-07-12T17:07:00Z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0x0101000F965A10587E2F4B9C5CBC374F200124</vt:lpwstr>
  </property>
  <property fmtid="{D5CDD505-2E9C-101B-9397-08002B2CF9AE}" pid="3" name="_dlc_DocIdItemGuid">
    <vt:lpwstr>4b1f8567-bcd6-4319-a8ed-933f23c94e86</vt:lpwstr>
  </property>
  <property fmtid="{D5CDD505-2E9C-101B-9397-08002B2CF9AE}" pid="4" name="MediaServiceImageTags">
    <vt:lpwstr/>
  </property>
</Properties>
</file>